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0"/>
        </w:rPr>
        <w:t>Core Auth Regression Automation Tool</w:t>
      </w:r>
    </w:p>
    <w:p>
      <w:pPr>
        <w:spacing w:after="280"/>
        <w:jc w:val="center"/>
      </w:pPr>
      <w:r>
        <w:rPr>
          <w:color w:val="5A5A5A"/>
          <w:sz w:val="26"/>
        </w:rPr>
        <w:t>Solution Architecture</w:t>
      </w:r>
    </w:p>
    <w:p>
      <w:pPr>
        <w:spacing w:after="120" w:before="0" w:line="276" w:lineRule="auto"/>
      </w:pPr>
      <w:r>
        <w:rPr>
          <w:b/>
          <w:color w:val="1A1A1A"/>
          <w:sz w:val="21"/>
        </w:rPr>
        <w:t>Version:</w:t>
      </w:r>
      <w:r>
        <w:rPr>
          <w:color w:val="1A1A1A"/>
          <w:sz w:val="21"/>
        </w:rPr>
        <w:t xml:space="preserve"> 1.0</w:t>
      </w:r>
    </w:p>
    <w:p>
      <w:pPr>
        <w:spacing w:after="120" w:before="0" w:line="276" w:lineRule="auto"/>
      </w:pPr>
      <w:r>
        <w:rPr>
          <w:b/>
          <w:color w:val="1A1A1A"/>
          <w:sz w:val="21"/>
        </w:rPr>
        <w:t>Date:</w:t>
      </w:r>
      <w:r>
        <w:rPr>
          <w:color w:val="1A1A1A"/>
          <w:sz w:val="21"/>
        </w:rPr>
        <w:t xml:space="preserve"> 2026-09-02</w:t>
      </w:r>
    </w:p>
    <w:p>
      <w:pPr>
        <w:keepNext/>
        <w:spacing w:before="320" w:after="120"/>
        <w:pBdr>
          <w:bottom w:val="single" w:sz="6" w:space="4" w:color="1F3864"/>
        </w:pBdr>
      </w:pPr>
      <w:r>
        <w:rPr>
          <w:b/>
          <w:color w:val="1F3864"/>
          <w:sz w:val="30"/>
        </w:rPr>
        <w:t>1. End Goal</w:t>
      </w:r>
    </w:p>
    <w:p>
      <w:pPr>
        <w:spacing w:after="120" w:before="0" w:line="276" w:lineRule="auto"/>
      </w:pPr>
      <w:r>
        <w:rPr>
          <w:color w:val="1A1A1A"/>
          <w:sz w:val="21"/>
        </w:rPr>
        <w:t>A platform that ingests structured payment specification documents and produces a complete, traceable regression test suite.</w:t>
      </w:r>
    </w:p>
    <w:p>
      <w:pPr>
        <w:spacing w:after="120" w:before="0" w:line="276" w:lineRule="auto"/>
      </w:pPr>
      <w:r>
        <w:rPr>
          <w:color w:val="1A1A1A"/>
          <w:sz w:val="21"/>
        </w:rPr>
        <w:t>Every generated test case traces back to the exact page and rule in the specification that justifies it. When a specification changes, the platform identifies which test cases are affected and regenerates only those. The same platform handles multiple specification formats without being rebuilt for each one.</w:t>
      </w:r>
    </w:p>
    <w:p>
      <w:pPr>
        <w:spacing w:after="120" w:before="0" w:line="276" w:lineRule="auto"/>
      </w:pPr>
      <w:r>
        <w:rPr>
          <w:color w:val="1A1A1A"/>
          <w:sz w:val="21"/>
        </w:rPr>
        <w:t>"</w:t>
      </w:r>
    </w:p>
    <w:p>
      <w:pPr>
        <w:spacing w:after="120" w:before="0" w:line="276" w:lineRule="auto"/>
      </w:pPr>
      <w:r>
        <w:rPr>
          <w:color w:val="1A1A1A"/>
          <w:sz w:val="21"/>
        </w:rPr>
        <w:t>The platform generates test cases. Execution, failure triage, and changes to the existing automation framework remain outside its scope.</w:t>
      </w:r>
    </w:p>
    <w:p>
      <w:pPr>
        <w:keepNext/>
        <w:spacing w:before="320" w:after="120"/>
        <w:pBdr>
          <w:bottom w:val="single" w:sz="6" w:space="4" w:color="1F3864"/>
        </w:pBdr>
      </w:pPr>
      <w:r>
        <w:rPr>
          <w:b/>
          <w:color w:val="1F3864"/>
          <w:sz w:val="30"/>
        </w:rPr>
        <w:t>2. Target Architecture</w:t>
      </w:r>
    </w:p>
    <w:p>
      <w:pPr>
        <w:keepLines/>
        <w:spacing w:before="80" w:after="80"/>
        <w:jc w:val="center"/>
      </w:pPr>
      <w:r>
        <w:drawing>
          <wp:inline xmlns:a="http://schemas.openxmlformats.org/drawingml/2006/main" xmlns:pic="http://schemas.openxmlformats.org/drawingml/2006/picture">
            <wp:extent cx="6120000" cy="3796950"/>
            <wp:docPr id="1" name="Picture 1"/>
            <wp:cNvGraphicFramePr>
              <a:graphicFrameLocks noChangeAspect="1"/>
            </wp:cNvGraphicFramePr>
            <a:graphic>
              <a:graphicData uri="http://schemas.openxmlformats.org/drawingml/2006/picture">
                <pic:pic>
                  <pic:nvPicPr>
                    <pic:cNvPr id="0" name="01_target_architecture.png"/>
                    <pic:cNvPicPr/>
                  </pic:nvPicPr>
                  <pic:blipFill>
                    <a:blip r:embed="rId9"/>
                    <a:stretch>
                      <a:fillRect/>
                    </a:stretch>
                  </pic:blipFill>
                  <pic:spPr>
                    <a:xfrm>
                      <a:off x="0" y="0"/>
                      <a:ext cx="6120000" cy="3796950"/>
                    </a:xfrm>
                    <a:prstGeom prst="rect"/>
                  </pic:spPr>
                </pic:pic>
              </a:graphicData>
            </a:graphic>
          </wp:inline>
        </w:drawing>
      </w:r>
    </w:p>
    <w:p>
      <w:pPr>
        <w:spacing w:before="0" w:after="240"/>
        <w:jc w:val="center"/>
      </w:pPr>
      <w:r>
        <w:rPr>
          <w:i/>
          <w:color w:val="5A5A5A"/>
          <w:sz w:val="18"/>
        </w:rPr>
        <w:t>Target Architecture</w:t>
      </w:r>
    </w:p>
    <w:tbl>
      <w:tblPr>
        <w:tblW w:type="auto" w:w="0"/>
        <w:jc w:val="center"/>
        <w:tblLayout w:type="autofit"/>
        <w:tblLook w:firstColumn="1" w:firstRow="1" w:lastColumn="0" w:lastRow="0" w:noHBand="0" w:noVBand="1" w:val="04A0"/>
        <w:tblBorders>
          <w:top w:val="single" w:sz="6" w:color="1F3864"/>
          <w:bottom w:val="single" w:sz="6" w:color="1F3864"/>
          <w:insideH w:val="single" w:sz="3" w:color="C9D2E0"/>
          <w:left w:val="none"/>
          <w:right w:val="none"/>
          <w:insideV w:val="none"/>
        </w:tblBorders>
        <w:tblCellMar>
          <w:top w:w="60" w:type="dxa"/>
          <w:bottom w:w="60" w:type="dxa"/>
          <w:left w:w="100" w:type="dxa"/>
          <w:right w:w="100" w:type="dxa"/>
        </w:tblCellMar>
      </w:tblPr>
      <w:tblGrid>
        <w:gridCol w:w="4819"/>
        <w:gridCol w:w="4819"/>
      </w:tblGrid>
      <w:tr>
        <w:tc>
          <w:tcPr>
            <w:tcW w:type="dxa" w:w="4819"/>
            <w:shd w:val="clear" w:fill="1F3864"/>
          </w:tcPr>
          <w:p>
            <w:pPr>
              <w:spacing w:after="0" w:before="0"/>
            </w:pPr>
            <w:r/>
            <w:r>
              <w:rPr>
                <w:b/>
                <w:color w:val="FFFFFF"/>
                <w:sz w:val="19"/>
              </w:rPr>
              <w:t>Component</w:t>
            </w:r>
          </w:p>
        </w:tc>
        <w:tc>
          <w:tcPr>
            <w:tcW w:type="dxa" w:w="4819"/>
            <w:shd w:val="clear" w:fill="1F3864"/>
          </w:tcPr>
          <w:p>
            <w:pPr>
              <w:spacing w:after="0" w:before="0"/>
            </w:pPr>
            <w:r/>
            <w:r>
              <w:rPr>
                <w:b/>
                <w:color w:val="FFFFFF"/>
                <w:sz w:val="19"/>
              </w:rPr>
              <w:t>Purpose</w:t>
            </w:r>
          </w:p>
        </w:tc>
      </w:tr>
      <w:tr>
        <w:tc>
          <w:tcPr>
            <w:tcW w:type="dxa" w:w="4819"/>
          </w:tcPr>
          <w:p>
            <w:pPr>
              <w:spacing w:after="0" w:before="0"/>
            </w:pPr>
            <w:r/>
            <w:r>
              <w:rPr>
                <w:b/>
                <w:color w:val="1A1A1A"/>
                <w:sz w:val="19"/>
              </w:rPr>
              <w:t>Specification Documents</w:t>
            </w:r>
          </w:p>
        </w:tc>
        <w:tc>
          <w:tcPr>
            <w:tcW w:type="dxa" w:w="4819"/>
          </w:tcPr>
          <w:p>
            <w:pPr>
              <w:spacing w:after="0" w:before="0"/>
            </w:pPr>
            <w:r/>
            <w:r>
              <w:rPr>
                <w:color w:val="1A1A1A"/>
                <w:sz w:val="19"/>
              </w:rPr>
              <w:t>The authoritative payment specification. Everything the platform generates is grounded in this source.</w:t>
            </w:r>
          </w:p>
        </w:tc>
      </w:tr>
      <w:tr>
        <w:tc>
          <w:tcPr>
            <w:tcW w:type="dxa" w:w="4819"/>
            <w:shd w:val="clear" w:fill="F2F5FA"/>
          </w:tcPr>
          <w:p>
            <w:pPr>
              <w:spacing w:after="0" w:before="0"/>
            </w:pPr>
            <w:r/>
            <w:r>
              <w:rPr>
                <w:b/>
                <w:color w:val="1A1A1A"/>
                <w:sz w:val="19"/>
              </w:rPr>
              <w:t>Supporting Knowledge</w:t>
            </w:r>
          </w:p>
        </w:tc>
        <w:tc>
          <w:tcPr>
            <w:tcW w:type="dxa" w:w="4819"/>
            <w:shd w:val="clear" w:fill="F2F5FA"/>
          </w:tcPr>
          <w:p>
            <w:pPr>
              <w:spacing w:after="0" w:before="0"/>
            </w:pPr>
            <w:r/>
            <w:r>
              <w:rPr>
                <w:color w:val="1A1A1A"/>
                <w:sz w:val="19"/>
              </w:rPr>
              <w:t>Internal knowledge-base and documentation content, used only where the specification itself does not answer a question.</w:t>
            </w:r>
          </w:p>
        </w:tc>
      </w:tr>
      <w:tr>
        <w:tc>
          <w:tcPr>
            <w:tcW w:type="dxa" w:w="4819"/>
          </w:tcPr>
          <w:p>
            <w:pPr>
              <w:spacing w:after="0" w:before="0"/>
            </w:pPr>
            <w:r/>
            <w:r>
              <w:rPr>
                <w:b/>
                <w:color w:val="1A1A1A"/>
                <w:sz w:val="19"/>
              </w:rPr>
              <w:t>Application Source Code</w:t>
            </w:r>
          </w:p>
        </w:tc>
        <w:tc>
          <w:tcPr>
            <w:tcW w:type="dxa" w:w="4819"/>
          </w:tcPr>
          <w:p>
            <w:pPr>
              <w:spacing w:after="0" w:before="0"/>
            </w:pPr>
            <w:r/>
            <w:r>
              <w:rPr>
                <w:color w:val="1A1A1A"/>
                <w:sz w:val="19"/>
              </w:rPr>
              <w:t>Confirms rules the system enforces in practice, including validations not fully documented in the specification.</w:t>
            </w:r>
          </w:p>
        </w:tc>
      </w:tr>
      <w:tr>
        <w:tc>
          <w:tcPr>
            <w:tcW w:type="dxa" w:w="4819"/>
            <w:shd w:val="clear" w:fill="F2F5FA"/>
          </w:tcPr>
          <w:p>
            <w:pPr>
              <w:spacing w:after="0" w:before="0"/>
            </w:pPr>
            <w:r/>
            <w:r>
              <w:rPr>
                <w:b/>
                <w:color w:val="1A1A1A"/>
                <w:sz w:val="19"/>
              </w:rPr>
              <w:t>Spec Profiler</w:t>
            </w:r>
          </w:p>
        </w:tc>
        <w:tc>
          <w:tcPr>
            <w:tcW w:type="dxa" w:w="4819"/>
            <w:shd w:val="clear" w:fill="F2F5FA"/>
          </w:tcPr>
          <w:p>
            <w:pPr>
              <w:spacing w:after="0" w:before="0"/>
            </w:pPr>
            <w:r/>
            <w:r>
              <w:rPr>
                <w:color w:val="1A1A1A"/>
                <w:sz w:val="19"/>
              </w:rPr>
              <w:t>Reads a new specification once and produces a configuration describing how that specification is organised. This is what allows a new specification format to be onboarded without engineering work.</w:t>
            </w:r>
          </w:p>
        </w:tc>
      </w:tr>
      <w:tr>
        <w:tc>
          <w:tcPr>
            <w:tcW w:type="dxa" w:w="4819"/>
          </w:tcPr>
          <w:p>
            <w:pPr>
              <w:spacing w:after="0" w:before="0"/>
            </w:pPr>
            <w:r/>
            <w:r>
              <w:rPr>
                <w:b/>
                <w:color w:val="1A1A1A"/>
                <w:sz w:val="19"/>
              </w:rPr>
              <w:t>Document Extractor</w:t>
            </w:r>
          </w:p>
        </w:tc>
        <w:tc>
          <w:tcPr>
            <w:tcW w:type="dxa" w:w="4819"/>
          </w:tcPr>
          <w:p>
            <w:pPr>
              <w:spacing w:after="0" w:before="0"/>
            </w:pPr>
            <w:r/>
            <w:r>
              <w:rPr>
                <w:color w:val="1A1A1A"/>
                <w:sz w:val="19"/>
              </w:rPr>
              <w:t>Reads the specification page by page — text, tables, and images — recording the page number for every item extracted.</w:t>
            </w:r>
          </w:p>
        </w:tc>
      </w:tr>
      <w:tr>
        <w:tc>
          <w:tcPr>
            <w:tcW w:type="dxa" w:w="4819"/>
            <w:shd w:val="clear" w:fill="F2F5FA"/>
          </w:tcPr>
          <w:p>
            <w:pPr>
              <w:spacing w:after="0" w:before="0"/>
            </w:pPr>
            <w:r/>
            <w:r>
              <w:rPr>
                <w:b/>
                <w:color w:val="1A1A1A"/>
                <w:sz w:val="19"/>
              </w:rPr>
              <w:t>Knowledge Extraction</w:t>
            </w:r>
          </w:p>
        </w:tc>
        <w:tc>
          <w:tcPr>
            <w:tcW w:type="dxa" w:w="4819"/>
            <w:shd w:val="clear" w:fill="F2F5FA"/>
          </w:tcPr>
          <w:p>
            <w:pPr>
              <w:spacing w:after="0" w:before="0"/>
            </w:pPr>
            <w:r/>
            <w:r>
              <w:rPr>
                <w:color w:val="1A1A1A"/>
                <w:sz w:val="19"/>
              </w:rPr>
              <w:t>Builds a structured knowledge model: message fields, their rules and valid values, appendix code tables, and the mapping between message segments and transaction types.</w:t>
            </w:r>
          </w:p>
        </w:tc>
      </w:tr>
      <w:tr>
        <w:tc>
          <w:tcPr>
            <w:tcW w:type="dxa" w:w="4819"/>
          </w:tcPr>
          <w:p>
            <w:pPr>
              <w:spacing w:after="0" w:before="0"/>
            </w:pPr>
            <w:r/>
            <w:r>
              <w:rPr>
                <w:b/>
                <w:color w:val="1A1A1A"/>
                <w:sz w:val="19"/>
              </w:rPr>
              <w:t>Knowledge Approval</w:t>
            </w:r>
          </w:p>
        </w:tc>
        <w:tc>
          <w:tcPr>
            <w:tcW w:type="dxa" w:w="4819"/>
          </w:tcPr>
          <w:p>
            <w:pPr>
              <w:spacing w:after="0" w:before="0"/>
            </w:pPr>
            <w:r/>
            <w:r>
              <w:rPr>
                <w:color w:val="1A1A1A"/>
                <w:sz w:val="19"/>
              </w:rPr>
              <w:t>A subject matter expert reviews and approves the extracted knowledge before it is used. Each item carries a confidence score so review effort concentrates where it is needed.</w:t>
            </w:r>
          </w:p>
        </w:tc>
      </w:tr>
      <w:tr>
        <w:tc>
          <w:tcPr>
            <w:tcW w:type="dxa" w:w="4819"/>
            <w:shd w:val="clear" w:fill="F2F5FA"/>
          </w:tcPr>
          <w:p>
            <w:pPr>
              <w:spacing w:after="0" w:before="0"/>
            </w:pPr>
            <w:r/>
            <w:r>
              <w:rPr>
                <w:b/>
                <w:color w:val="1A1A1A"/>
                <w:sz w:val="19"/>
              </w:rPr>
              <w:t>Requirement Derivation</w:t>
            </w:r>
          </w:p>
        </w:tc>
        <w:tc>
          <w:tcPr>
            <w:tcW w:type="dxa" w:w="4819"/>
            <w:shd w:val="clear" w:fill="F2F5FA"/>
          </w:tcPr>
          <w:p>
            <w:pPr>
              <w:spacing w:after="0" w:before="0"/>
            </w:pPr>
            <w:r/>
            <w:r>
              <w:rPr>
                <w:color w:val="1A1A1A"/>
                <w:sz w:val="19"/>
              </w:rPr>
              <w:t>States each approved rule and constraint as an explicit, testable functional requirement, traceable to its specification source.</w:t>
            </w:r>
          </w:p>
        </w:tc>
      </w:tr>
      <w:tr>
        <w:tc>
          <w:tcPr>
            <w:tcW w:type="dxa" w:w="4819"/>
          </w:tcPr>
          <w:p>
            <w:pPr>
              <w:spacing w:after="0" w:before="0"/>
            </w:pPr>
            <w:r/>
            <w:r>
              <w:rPr>
                <w:b/>
                <w:color w:val="1A1A1A"/>
                <w:sz w:val="19"/>
              </w:rPr>
              <w:t>Scenario Management</w:t>
            </w:r>
          </w:p>
        </w:tc>
        <w:tc>
          <w:tcPr>
            <w:tcW w:type="dxa" w:w="4819"/>
          </w:tcPr>
          <w:p>
            <w:pPr>
              <w:spacing w:after="0" w:before="0"/>
            </w:pPr>
            <w:r/>
            <w:r>
              <w:rPr>
                <w:color w:val="1A1A1A"/>
                <w:sz w:val="19"/>
              </w:rPr>
              <w:t>Generates candidate business scenarios that test each functional requirement, and manages expert review of that list.</w:t>
            </w:r>
          </w:p>
        </w:tc>
      </w:tr>
      <w:tr>
        <w:tc>
          <w:tcPr>
            <w:tcW w:type="dxa" w:w="4819"/>
            <w:shd w:val="clear" w:fill="F2F5FA"/>
          </w:tcPr>
          <w:p>
            <w:pPr>
              <w:spacing w:after="0" w:before="0"/>
            </w:pPr>
            <w:r/>
            <w:r>
              <w:rPr>
                <w:b/>
                <w:color w:val="1A1A1A"/>
                <w:sz w:val="19"/>
              </w:rPr>
              <w:t>Scenario Approval</w:t>
            </w:r>
          </w:p>
        </w:tc>
        <w:tc>
          <w:tcPr>
            <w:tcW w:type="dxa" w:w="4819"/>
            <w:shd w:val="clear" w:fill="F2F5FA"/>
          </w:tcPr>
          <w:p>
            <w:pPr>
              <w:spacing w:after="0" w:before="0"/>
            </w:pPr>
            <w:r/>
            <w:r>
              <w:rPr>
                <w:color w:val="1A1A1A"/>
                <w:sz w:val="19"/>
              </w:rPr>
              <w:t>The expert removes scenarios that are not relevant and adds scenarios that domain knowledge says must be tested. The approved list becomes the basis for coverage.</w:t>
            </w:r>
          </w:p>
        </w:tc>
      </w:tr>
      <w:tr>
        <w:tc>
          <w:tcPr>
            <w:tcW w:type="dxa" w:w="4819"/>
          </w:tcPr>
          <w:p>
            <w:pPr>
              <w:spacing w:after="0" w:before="0"/>
            </w:pPr>
            <w:r/>
            <w:r>
              <w:rPr>
                <w:b/>
                <w:color w:val="1A1A1A"/>
                <w:sz w:val="19"/>
              </w:rPr>
              <w:t>Test Prioritization</w:t>
            </w:r>
          </w:p>
        </w:tc>
        <w:tc>
          <w:tcPr>
            <w:tcW w:type="dxa" w:w="4819"/>
          </w:tcPr>
          <w:p>
            <w:pPr>
              <w:spacing w:after="0" w:before="0"/>
            </w:pPr>
            <w:r/>
            <w:r>
              <w:rPr>
                <w:color w:val="1A1A1A"/>
                <w:sz w:val="19"/>
              </w:rPr>
              <w:t>Ranks approved scenarios by risk and business priority so the highest-value tests are generated first.</w:t>
            </w:r>
          </w:p>
        </w:tc>
      </w:tr>
      <w:tr>
        <w:tc>
          <w:tcPr>
            <w:tcW w:type="dxa" w:w="4819"/>
            <w:shd w:val="clear" w:fill="F2F5FA"/>
          </w:tcPr>
          <w:p>
            <w:pPr>
              <w:spacing w:after="0" w:before="0"/>
            </w:pPr>
            <w:r/>
            <w:r>
              <w:rPr>
                <w:b/>
                <w:color w:val="1A1A1A"/>
                <w:sz w:val="19"/>
              </w:rPr>
              <w:t>Test Generation</w:t>
            </w:r>
          </w:p>
        </w:tc>
        <w:tc>
          <w:tcPr>
            <w:tcW w:type="dxa" w:w="4819"/>
            <w:shd w:val="clear" w:fill="F2F5FA"/>
          </w:tcPr>
          <w:p>
            <w:pPr>
              <w:spacing w:after="0" w:before="0"/>
            </w:pPr>
            <w:r/>
            <w:r>
              <w:rPr>
                <w:color w:val="1A1A1A"/>
                <w:sz w:val="19"/>
              </w:rPr>
              <w:t>For each approved scenario, builds the complete request message and the expected response that the test will assert against.</w:t>
            </w:r>
          </w:p>
        </w:tc>
      </w:tr>
      <w:tr>
        <w:tc>
          <w:tcPr>
            <w:tcW w:type="dxa" w:w="4819"/>
          </w:tcPr>
          <w:p>
            <w:pPr>
              <w:spacing w:after="0" w:before="0"/>
            </w:pPr>
            <w:r/>
            <w:r>
              <w:rPr>
                <w:b/>
                <w:color w:val="1A1A1A"/>
                <w:sz w:val="19"/>
              </w:rPr>
              <w:t>Test Case Approval</w:t>
            </w:r>
          </w:p>
        </w:tc>
        <w:tc>
          <w:tcPr>
            <w:tcW w:type="dxa" w:w="4819"/>
          </w:tcPr>
          <w:p>
            <w:pPr>
              <w:spacing w:after="0" w:before="0"/>
            </w:pPr>
            <w:r/>
            <w:r>
              <w:rPr>
                <w:color w:val="1A1A1A"/>
                <w:sz w:val="19"/>
              </w:rPr>
              <w:t>The generated batch is reviewed and approved before it enters the regression suite.</w:t>
            </w:r>
          </w:p>
        </w:tc>
      </w:tr>
      <w:tr>
        <w:tc>
          <w:tcPr>
            <w:tcW w:type="dxa" w:w="4819"/>
            <w:shd w:val="clear" w:fill="F2F5FA"/>
          </w:tcPr>
          <w:p>
            <w:pPr>
              <w:spacing w:after="0" w:before="0"/>
            </w:pPr>
            <w:r/>
            <w:r>
              <w:rPr>
                <w:b/>
                <w:color w:val="1A1A1A"/>
                <w:sz w:val="19"/>
              </w:rPr>
              <w:t>Change Management</w:t>
            </w:r>
          </w:p>
        </w:tc>
        <w:tc>
          <w:tcPr>
            <w:tcW w:type="dxa" w:w="4819"/>
            <w:shd w:val="clear" w:fill="F2F5FA"/>
          </w:tcPr>
          <w:p>
            <w:pPr>
              <w:spacing w:after="0" w:before="0"/>
            </w:pPr>
            <w:r/>
            <w:r>
              <w:rPr>
                <w:color w:val="1A1A1A"/>
                <w:sz w:val="19"/>
              </w:rPr>
              <w:t>When a new specification version arrives, identifies precisely which test cases are affected and regenerates only those.</w:t>
            </w:r>
          </w:p>
        </w:tc>
      </w:tr>
      <w:tr>
        <w:tc>
          <w:tcPr>
            <w:tcW w:type="dxa" w:w="4819"/>
          </w:tcPr>
          <w:p>
            <w:pPr>
              <w:spacing w:after="0" w:before="0"/>
            </w:pPr>
            <w:r/>
            <w:r>
              <w:rPr>
                <w:b/>
                <w:color w:val="1A1A1A"/>
                <w:sz w:val="19"/>
              </w:rPr>
              <w:t>Outputs</w:t>
            </w:r>
          </w:p>
        </w:tc>
        <w:tc>
          <w:tcPr>
            <w:tcW w:type="dxa" w:w="4819"/>
          </w:tcPr>
          <w:p>
            <w:pPr>
              <w:spacing w:after="0" w:before="0"/>
            </w:pPr>
            <w:r/>
            <w:r>
              <w:rPr>
                <w:color w:val="1A1A1A"/>
                <w:sz w:val="19"/>
              </w:rPr>
              <w:t>The generated test suite, a traceability matrix linking every test case to its specification source, and a coverage report.</w:t>
            </w:r>
          </w:p>
        </w:tc>
      </w:tr>
    </w:tbl>
    <w:p>
      <w:pPr>
        <w:spacing w:after="120"/>
      </w:pPr>
    </w:p>
    <w:p>
      <w:pPr>
        <w:keepNext/>
        <w:spacing w:before="320" w:after="120"/>
        <w:pBdr>
          <w:bottom w:val="single" w:sz="6" w:space="4" w:color="1F3864"/>
        </w:pBdr>
      </w:pPr>
      <w:r>
        <w:rPr>
          <w:b/>
          <w:color w:val="1F3864"/>
          <w:sz w:val="30"/>
        </w:rPr>
        <w:t>3. How a Specification Flows Through the Platform</w:t>
      </w:r>
    </w:p>
    <w:p>
      <w:pPr>
        <w:keepLines/>
        <w:spacing w:before="80" w:after="80"/>
        <w:jc w:val="center"/>
      </w:pPr>
      <w:r>
        <w:drawing>
          <wp:inline xmlns:a="http://schemas.openxmlformats.org/drawingml/2006/main" xmlns:pic="http://schemas.openxmlformats.org/drawingml/2006/picture">
            <wp:extent cx="6120000" cy="4936800"/>
            <wp:docPr id="2" name="Picture 2"/>
            <wp:cNvGraphicFramePr>
              <a:graphicFrameLocks noChangeAspect="1"/>
            </wp:cNvGraphicFramePr>
            <a:graphic>
              <a:graphicData uri="http://schemas.openxmlformats.org/drawingml/2006/picture">
                <pic:pic>
                  <pic:nvPicPr>
                    <pic:cNvPr id="0" name="02_workflow.png"/>
                    <pic:cNvPicPr/>
                  </pic:nvPicPr>
                  <pic:blipFill>
                    <a:blip r:embed="rId10"/>
                    <a:stretch>
                      <a:fillRect/>
                    </a:stretch>
                  </pic:blipFill>
                  <pic:spPr>
                    <a:xfrm>
                      <a:off x="0" y="0"/>
                      <a:ext cx="6120000" cy="4936800"/>
                    </a:xfrm>
                    <a:prstGeom prst="rect"/>
                  </pic:spPr>
                </pic:pic>
              </a:graphicData>
            </a:graphic>
          </wp:inline>
        </w:drawing>
      </w:r>
    </w:p>
    <w:p>
      <w:pPr>
        <w:spacing w:before="0" w:after="240"/>
        <w:jc w:val="center"/>
      </w:pPr>
      <w:r>
        <w:rPr>
          <w:i/>
          <w:color w:val="5A5A5A"/>
          <w:sz w:val="18"/>
        </w:rPr>
        <w:t>End-to-End Workflow</w:t>
      </w:r>
    </w:p>
    <w:p>
      <w:pPr>
        <w:spacing w:after="120" w:before="0" w:line="276" w:lineRule="auto"/>
      </w:pPr>
      <w:r>
        <w:rPr>
          <w:color w:val="1A1A1A"/>
          <w:sz w:val="21"/>
        </w:rPr>
        <w:t xml:space="preserve">The workflow above shows the complete path from specification document to approved test suite. Steps marked </w:t>
      </w:r>
      <w:r>
        <w:rPr>
          <w:i/>
          <w:color w:val="1A1A1A"/>
          <w:sz w:val="21"/>
        </w:rPr>
        <w:t>Phase 2</w:t>
      </w:r>
      <w:r>
        <w:rPr>
          <w:color w:val="1A1A1A"/>
          <w:sz w:val="21"/>
        </w:rPr>
        <w:t xml:space="preserve"> are additions that come in the second phase — the core path operates from Phase 1.</w:t>
      </w:r>
    </w:p>
    <w:p>
      <w:pPr>
        <w:spacing w:after="120" w:before="0" w:line="276" w:lineRule="auto"/>
      </w:pPr>
      <w:r>
        <w:rPr>
          <w:b/>
          <w:color w:val="1A1A1A"/>
          <w:sz w:val="21"/>
        </w:rPr>
        <w:t>Reading the workflow:</w:t>
      </w:r>
    </w:p>
    <w:p>
      <w:pPr>
        <w:pStyle w:val="ListBullet"/>
        <w:spacing w:after="80" w:line="276" w:lineRule="auto"/>
        <w:ind w:left="454"/>
      </w:pPr>
      <w:r>
        <w:rPr>
          <w:b/>
          <w:color w:val="1A1A1A"/>
          <w:sz w:val="21"/>
        </w:rPr>
        <w:t>Document Extraction</w:t>
      </w:r>
      <w:r>
        <w:rPr>
          <w:color w:val="1A1A1A"/>
          <w:sz w:val="21"/>
        </w:rPr>
        <w:t xml:space="preserve"> reads text, tables, and images. Image content is read by OCR from Phase 1; visual interpretation of diagrams is added in Phase 2.</w:t>
      </w:r>
    </w:p>
    <w:p>
      <w:pPr>
        <w:pStyle w:val="ListBullet"/>
        <w:spacing w:after="80" w:line="276" w:lineRule="auto"/>
        <w:ind w:left="454"/>
      </w:pPr>
      <w:r>
        <w:rPr>
          <w:b/>
          <w:color w:val="1A1A1A"/>
          <w:sz w:val="21"/>
        </w:rPr>
        <w:t>Knowledge Extraction</w:t>
      </w:r>
      <w:r>
        <w:rPr>
          <w:color w:val="1A1A1A"/>
          <w:sz w:val="21"/>
        </w:rPr>
        <w:t xml:space="preserve"> runs three extractions in parallel — message structure, field rules and values, and appendix code tables. Relationship extraction follows, because it matches against the message structure the first extraction produces.</w:t>
      </w:r>
    </w:p>
    <w:p>
      <w:pPr>
        <w:pStyle w:val="ListBullet"/>
        <w:spacing w:after="80" w:line="276" w:lineRule="auto"/>
        <w:ind w:left="454"/>
      </w:pPr>
      <w:r>
        <w:rPr>
          <w:b/>
          <w:color w:val="1A1A1A"/>
          <w:sz w:val="21"/>
        </w:rPr>
        <w:t>Requirement Derivation</w:t>
      </w:r>
      <w:r>
        <w:rPr>
          <w:color w:val="1A1A1A"/>
          <w:sz w:val="21"/>
        </w:rPr>
        <w:t xml:space="preserve"> turns the approved knowledge into explicit functional requirement statements, each traceable to the specification rule it came from.</w:t>
      </w:r>
    </w:p>
    <w:p>
      <w:pPr>
        <w:pStyle w:val="ListBullet"/>
        <w:spacing w:after="80" w:line="276" w:lineRule="auto"/>
        <w:ind w:left="454"/>
      </w:pPr>
      <w:r>
        <w:rPr>
          <w:b/>
          <w:color w:val="1A1A1A"/>
          <w:sz w:val="21"/>
        </w:rPr>
        <w:t>Scenario Management</w:t>
      </w:r>
      <w:r>
        <w:rPr>
          <w:color w:val="1A1A1A"/>
          <w:sz w:val="21"/>
        </w:rPr>
        <w:t xml:space="preserve"> generates the scenarios that test each requirement. Each proposed scenario passes through the same independent AI review used for the knowledge model, before reaching Scenario Approval.</w:t>
      </w:r>
    </w:p>
    <w:p>
      <w:pPr>
        <w:pStyle w:val="ListBullet"/>
        <w:spacing w:after="80" w:line="276" w:lineRule="auto"/>
        <w:ind w:left="454"/>
      </w:pPr>
      <w:r>
        <w:rPr>
          <w:b/>
          <w:color w:val="1A1A1A"/>
          <w:sz w:val="21"/>
        </w:rPr>
        <w:t>Test Prioritization</w:t>
      </w:r>
      <w:r>
        <w:rPr>
          <w:color w:val="1A1A1A"/>
          <w:sz w:val="21"/>
        </w:rPr>
        <w:t xml:space="preserve"> ranks the approved scenarios by risk and business priority before any test case is built, so effort concentrates on the highest-value tests first.</w:t>
      </w:r>
    </w:p>
    <w:p>
      <w:pPr>
        <w:pStyle w:val="ListBullet"/>
        <w:spacing w:after="80" w:line="276" w:lineRule="auto"/>
        <w:ind w:left="454"/>
      </w:pPr>
      <w:r>
        <w:rPr>
          <w:b/>
          <w:color w:val="1A1A1A"/>
          <w:sz w:val="21"/>
        </w:rPr>
        <w:t>AI Enrichment and Independent AI Review</w:t>
      </w:r>
      <w:r>
        <w:rPr>
          <w:color w:val="1A1A1A"/>
          <w:sz w:val="21"/>
        </w:rPr>
        <w:t xml:space="preserve"> operate as separate steps: one proposes meaning, the other verifies it and assigns a confidence score. Neither has final authority. If the review catches an issue, the platform retries that step once before the item reaches the expert — reducing how many avoidable mistakes reach human review, without changing who has final authority.</w:t>
      </w:r>
    </w:p>
    <w:p>
      <w:pPr>
        <w:pStyle w:val="ListBullet"/>
        <w:spacing w:after="80" w:line="276" w:lineRule="auto"/>
        <w:ind w:left="454"/>
      </w:pPr>
      <w:r>
        <w:rPr>
          <w:b/>
          <w:color w:val="1A1A1A"/>
          <w:sz w:val="21"/>
        </w:rPr>
        <w:t>Three approval points</w:t>
      </w:r>
      <w:r>
        <w:rPr>
          <w:color w:val="1A1A1A"/>
          <w:sz w:val="21"/>
        </w:rPr>
        <w:t xml:space="preserve"> — Knowledge, Scenario, and Test Case — are where a subject matter expert validates the platform's output before it proceeds. Rejected work returns to the preceding step rather than restarting the pipeline.</w:t>
      </w:r>
    </w:p>
    <w:p>
      <w:pPr>
        <w:spacing w:before="160" w:after="160"/>
        <w:ind w:left="340"/>
        <w:pBdr>
          <w:left w:val="single" w:sz="18" w:space="8" w:color="1F3864"/>
        </w:pBdr>
      </w:pPr>
      <w:r>
        <w:rPr>
          <w:color w:val="1F3864"/>
          <w:sz w:val="21"/>
        </w:rPr>
        <w:t>Scenario Approval and Test Case Approval require subject matter expert review before the platform proceeds.</w:t>
      </w:r>
    </w:p>
    <w:p>
      <w:pPr>
        <w:spacing w:after="120" w:before="0" w:line="276" w:lineRule="auto"/>
      </w:pPr>
      <w:r>
        <w:rPr>
          <w:color w:val="1A1A1A"/>
          <w:sz w:val="21"/>
        </w:rPr>
        <w:t>Every item carries its specification page and links forward to the requirement, scenario, and test case it produces — the same chain the Traceability Matrix in the final output represents.</w:t>
      </w:r>
    </w:p>
    <w:p>
      <w:pPr>
        <w:spacing w:after="120" w:before="0" w:line="276" w:lineRule="auto"/>
      </w:pPr>
      <w:r>
        <w:rPr>
          <w:b/>
          <w:color w:val="1A1A1A"/>
          <w:sz w:val="21"/>
        </w:rPr>
        <w:t>How review effort is managed.</w:t>
      </w:r>
      <w:r>
        <w:rPr>
          <w:color w:val="1A1A1A"/>
          <w:sz w:val="21"/>
        </w:rPr>
        <w:t xml:space="preserve"> In Phase 1 every extracted item is reviewed and approved by a subject matter expert. Each review decision is recorded against the confidence score the platform assigned to that item, which builds an evidence base showing how reliably the score predicts correctness. From Phase 2 that evidence is used to set a confidence threshold: items scoring above it are presented for confirmation rather than detailed review, concentrating expert attention on the items that need it. The threshold is only introduced once the evidence supports it, and every item remains visible to the reviewer.</w:t>
      </w:r>
    </w:p>
    <w:p>
      <w:pPr>
        <w:spacing w:after="120" w:before="0" w:line="276" w:lineRule="auto"/>
      </w:pPr>
      <w:r>
        <w:rPr>
          <w:b/>
          <w:color w:val="1A1A1A"/>
          <w:sz w:val="21"/>
        </w:rPr>
        <w:t>What is produced:</w:t>
      </w:r>
      <w:r>
        <w:rPr>
          <w:color w:val="1A1A1A"/>
          <w:sz w:val="21"/>
        </w:rPr>
        <w:t xml:space="preserve"> an approved test suite in the agreed JSON format, a traceability matrix mapping each test case to its source specification page, and a coverage report. All three are generated on every run.</w:t>
      </w:r>
    </w:p>
    <w:p>
      <w:pPr>
        <w:keepNext/>
        <w:spacing w:before="320" w:after="120"/>
        <w:pBdr>
          <w:bottom w:val="single" w:sz="6" w:space="4" w:color="1F3864"/>
        </w:pBdr>
      </w:pPr>
      <w:r>
        <w:rPr>
          <w:b/>
          <w:color w:val="1F3864"/>
          <w:sz w:val="30"/>
        </w:rPr>
        <w:t>4. What Gets Built in Each Phase</w:t>
      </w:r>
    </w:p>
    <w:p>
      <w:pPr>
        <w:spacing w:after="120" w:before="0" w:line="276" w:lineRule="auto"/>
      </w:pPr>
      <w:r>
        <w:rPr>
          <w:b/>
          <w:color w:val="1A1A1A"/>
          <w:sz w:val="21"/>
        </w:rPr>
        <w:t>Platform Capabilities</w:t>
      </w:r>
    </w:p>
    <w:p>
      <w:pPr>
        <w:spacing w:after="120" w:before="0" w:line="276" w:lineRule="auto"/>
      </w:pPr>
      <w:r>
        <w:rPr>
          <w:color w:val="1A1A1A"/>
          <w:sz w:val="21"/>
        </w:rPr>
        <w:t xml:space="preserve">Legend — </w:t>
      </w:r>
      <w:r>
        <w:rPr>
          <w:b/>
          <w:color w:val="1A1A1A"/>
          <w:sz w:val="21"/>
        </w:rPr>
        <w:t>●</w:t>
      </w:r>
      <w:r>
        <w:rPr>
          <w:color w:val="1A1A1A"/>
          <w:sz w:val="21"/>
        </w:rPr>
        <w:t xml:space="preserve"> new build · </w:t>
      </w:r>
      <w:r>
        <w:rPr>
          <w:b/>
          <w:color w:val="1A1A1A"/>
          <w:sz w:val="21"/>
        </w:rPr>
        <w:t>◐</w:t>
      </w:r>
      <w:r>
        <w:rPr>
          <w:color w:val="1A1A1A"/>
          <w:sz w:val="21"/>
        </w:rPr>
        <w:t xml:space="preserve"> enhanced · </w:t>
      </w:r>
      <w:r>
        <w:rPr>
          <w:b/>
          <w:color w:val="1A1A1A"/>
          <w:sz w:val="21"/>
        </w:rPr>
        <w:t>○</w:t>
      </w:r>
      <w:r>
        <w:rPr>
          <w:color w:val="1A1A1A"/>
          <w:sz w:val="21"/>
        </w:rPr>
        <w:t xml:space="preserve"> operational · </w:t>
      </w:r>
      <w:r>
        <w:rPr>
          <w:b/>
          <w:color w:val="1A1A1A"/>
          <w:sz w:val="21"/>
        </w:rPr>
        <w:t>—</w:t>
      </w:r>
      <w:r>
        <w:rPr>
          <w:color w:val="1A1A1A"/>
          <w:sz w:val="21"/>
        </w:rPr>
        <w:t xml:space="preserve"> not present</w:t>
      </w:r>
    </w:p>
    <w:tbl>
      <w:tblPr>
        <w:tblW w:type="auto" w:w="0"/>
        <w:jc w:val="center"/>
        <w:tblLayout w:type="autofit"/>
        <w:tblLook w:firstColumn="1" w:firstRow="1" w:lastColumn="0" w:lastRow="0" w:noHBand="0" w:noVBand="1" w:val="04A0"/>
        <w:tblBorders>
          <w:top w:val="single" w:sz="6" w:color="1F3864"/>
          <w:bottom w:val="single" w:sz="6" w:color="1F3864"/>
          <w:insideH w:val="single" w:sz="3" w:color="C9D2E0"/>
          <w:left w:val="none"/>
          <w:right w:val="none"/>
          <w:insideV w:val="none"/>
        </w:tblBorders>
        <w:tblCellMar>
          <w:top w:w="60" w:type="dxa"/>
          <w:bottom w:w="60" w:type="dxa"/>
          <w:left w:w="100" w:type="dxa"/>
          <w:right w:w="100" w:type="dxa"/>
        </w:tblCellMar>
      </w:tblPr>
      <w:tblGrid>
        <w:gridCol w:w="1928"/>
        <w:gridCol w:w="1928"/>
        <w:gridCol w:w="1928"/>
        <w:gridCol w:w="1928"/>
        <w:gridCol w:w="1928"/>
      </w:tblGrid>
      <w:tr>
        <w:tc>
          <w:tcPr>
            <w:tcW w:type="dxa" w:w="1928"/>
            <w:shd w:val="clear" w:fill="1F3864"/>
          </w:tcPr>
          <w:p>
            <w:pPr>
              <w:spacing w:after="0" w:before="0"/>
            </w:pPr>
            <w:r/>
            <w:r>
              <w:rPr>
                <w:b/>
                <w:color w:val="FFFFFF"/>
                <w:sz w:val="19"/>
              </w:rPr>
              <w:t>Capability</w:t>
            </w:r>
          </w:p>
        </w:tc>
        <w:tc>
          <w:tcPr>
            <w:tcW w:type="dxa" w:w="1928"/>
            <w:shd w:val="clear" w:fill="1F3864"/>
          </w:tcPr>
          <w:p>
            <w:pPr>
              <w:spacing w:after="0" w:before="0"/>
            </w:pPr>
            <w:r/>
            <w:r>
              <w:rPr>
                <w:b/>
                <w:color w:val="FFFFFF"/>
                <w:sz w:val="19"/>
              </w:rPr>
              <w:t>Phase 1</w:t>
            </w:r>
          </w:p>
        </w:tc>
        <w:tc>
          <w:tcPr>
            <w:tcW w:type="dxa" w:w="1928"/>
            <w:shd w:val="clear" w:fill="1F3864"/>
          </w:tcPr>
          <w:p>
            <w:pPr>
              <w:spacing w:after="0" w:before="0"/>
            </w:pPr>
            <w:r/>
            <w:r>
              <w:rPr>
                <w:b/>
                <w:color w:val="FFFFFF"/>
                <w:sz w:val="19"/>
              </w:rPr>
              <w:t>Phase 2</w:t>
            </w:r>
          </w:p>
        </w:tc>
        <w:tc>
          <w:tcPr>
            <w:tcW w:type="dxa" w:w="1928"/>
            <w:shd w:val="clear" w:fill="1F3864"/>
          </w:tcPr>
          <w:p>
            <w:pPr>
              <w:spacing w:after="0" w:before="0"/>
            </w:pPr>
            <w:r/>
            <w:r>
              <w:rPr>
                <w:b/>
                <w:color w:val="FFFFFF"/>
                <w:sz w:val="19"/>
              </w:rPr>
              <w:t>Phase 3</w:t>
            </w:r>
          </w:p>
        </w:tc>
        <w:tc>
          <w:tcPr>
            <w:tcW w:type="dxa" w:w="1928"/>
            <w:shd w:val="clear" w:fill="1F3864"/>
          </w:tcPr>
          <w:p>
            <w:pPr>
              <w:spacing w:after="0" w:before="0"/>
            </w:pPr>
            <w:r/>
            <w:r>
              <w:rPr>
                <w:b/>
                <w:color w:val="FFFFFF"/>
                <w:sz w:val="19"/>
              </w:rPr>
              <w:t>Depends on</w:t>
            </w:r>
          </w:p>
        </w:tc>
      </w:tr>
      <w:tr>
        <w:tc>
          <w:tcPr>
            <w:tcW w:type="dxa" w:w="1928"/>
          </w:tcPr>
          <w:p>
            <w:pPr>
              <w:spacing w:after="0" w:before="0"/>
            </w:pPr>
            <w:r/>
            <w:r>
              <w:rPr>
                <w:color w:val="1A1A1A"/>
                <w:sz w:val="19"/>
              </w:rPr>
              <w:t>Spec Profiler</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r>
      <w:tr>
        <w:tc>
          <w:tcPr>
            <w:tcW w:type="dxa" w:w="1928"/>
            <w:shd w:val="clear" w:fill="F2F5FA"/>
          </w:tcPr>
          <w:p>
            <w:pPr>
              <w:spacing w:after="0" w:before="0"/>
            </w:pPr>
            <w:r/>
            <w:r>
              <w:rPr>
                <w:color w:val="1A1A1A"/>
                <w:sz w:val="19"/>
              </w:rPr>
              <w:t>Text and Table Extraction</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r>
      <w:tr>
        <w:tc>
          <w:tcPr>
            <w:tcW w:type="dxa" w:w="1928"/>
          </w:tcPr>
          <w:p>
            <w:pPr>
              <w:spacing w:after="0" w:before="0"/>
            </w:pPr>
            <w:r/>
            <w:r>
              <w:rPr>
                <w:color w:val="1A1A1A"/>
                <w:sz w:val="19"/>
              </w:rPr>
              <w:t>Image Extraction</w:t>
            </w:r>
          </w:p>
        </w:tc>
        <w:tc>
          <w:tcPr>
            <w:tcW w:type="dxa" w:w="1928"/>
          </w:tcPr>
          <w:p>
            <w:pPr>
              <w:spacing w:after="0" w:before="0"/>
            </w:pPr>
            <w:r/>
            <w:r>
              <w:rPr>
                <w:color w:val="1A1A1A"/>
                <w:sz w:val="19"/>
              </w:rPr>
              <w:t>● OCR</w:t>
            </w:r>
          </w:p>
        </w:tc>
        <w:tc>
          <w:tcPr>
            <w:tcW w:type="dxa" w:w="1928"/>
          </w:tcPr>
          <w:p>
            <w:pPr>
              <w:spacing w:after="0" w:before="0"/>
            </w:pPr>
            <w:r/>
            <w:r>
              <w:rPr>
                <w:color w:val="1A1A1A"/>
                <w:sz w:val="19"/>
              </w:rPr>
              <w:t>◐ Vision</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r>
      <w:tr>
        <w:tc>
          <w:tcPr>
            <w:tcW w:type="dxa" w:w="1928"/>
            <w:shd w:val="clear" w:fill="F2F5FA"/>
          </w:tcPr>
          <w:p>
            <w:pPr>
              <w:spacing w:after="0" w:before="0"/>
            </w:pPr>
            <w:r/>
            <w:r>
              <w:rPr>
                <w:color w:val="1A1A1A"/>
                <w:sz w:val="19"/>
              </w:rPr>
              <w:t>Knowledge Extraction</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Spec Profiler</w:t>
            </w:r>
          </w:p>
        </w:tc>
      </w:tr>
      <w:tr>
        <w:tc>
          <w:tcPr>
            <w:tcW w:type="dxa" w:w="1928"/>
          </w:tcPr>
          <w:p>
            <w:pPr>
              <w:spacing w:after="0" w:before="0"/>
            </w:pPr>
            <w:r/>
            <w:r>
              <w:rPr>
                <w:color w:val="1A1A1A"/>
                <w:sz w:val="19"/>
              </w:rPr>
              <w:t>Validation and Confidence Scoring</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Knowledge Extraction</w:t>
            </w:r>
          </w:p>
        </w:tc>
      </w:tr>
      <w:tr>
        <w:tc>
          <w:tcPr>
            <w:tcW w:type="dxa" w:w="1928"/>
            <w:shd w:val="clear" w:fill="F2F5FA"/>
          </w:tcPr>
          <w:p>
            <w:pPr>
              <w:spacing w:after="0" w:before="0"/>
            </w:pPr>
            <w:r/>
            <w:r>
              <w:rPr>
                <w:color w:val="1A1A1A"/>
                <w:sz w:val="19"/>
              </w:rPr>
              <w:t>Knowledge Approval</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r>
      <w:tr>
        <w:tc>
          <w:tcPr>
            <w:tcW w:type="dxa" w:w="1928"/>
          </w:tcPr>
          <w:p>
            <w:pPr>
              <w:spacing w:after="0" w:before="0"/>
            </w:pPr>
            <w:r/>
            <w:r>
              <w:rPr>
                <w:color w:val="1A1A1A"/>
                <w:sz w:val="19"/>
              </w:rPr>
              <w:t>Context Retrieval</w:t>
            </w:r>
          </w:p>
        </w:tc>
        <w:tc>
          <w:tcPr>
            <w:tcW w:type="dxa" w:w="1928"/>
          </w:tcPr>
          <w:p>
            <w:pPr>
              <w:spacing w:after="0" w:before="0"/>
            </w:pPr>
            <w:r/>
            <w:r>
              <w:rPr>
                <w:color w:val="1A1A1A"/>
                <w:sz w:val="19"/>
              </w:rPr>
              <w:t>● Direct</w:t>
            </w:r>
          </w:p>
        </w:tc>
        <w:tc>
          <w:tcPr>
            <w:tcW w:type="dxa" w:w="1928"/>
          </w:tcPr>
          <w:p>
            <w:pPr>
              <w:spacing w:after="0" w:before="0"/>
            </w:pPr>
            <w:r/>
            <w:r>
              <w:rPr>
                <w:color w:val="1A1A1A"/>
                <w:sz w:val="19"/>
              </w:rPr>
              <w:t>◐ Semantic</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r>
      <w:tr>
        <w:tc>
          <w:tcPr>
            <w:tcW w:type="dxa" w:w="1928"/>
            <w:shd w:val="clear" w:fill="F2F5FA"/>
          </w:tcPr>
          <w:p>
            <w:pPr>
              <w:spacing w:after="0" w:before="0"/>
            </w:pPr>
            <w:r/>
            <w:r>
              <w:rPr>
                <w:color w:val="1A1A1A"/>
                <w:sz w:val="19"/>
              </w:rPr>
              <w:t>Source Code Knowledge</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Source code access</w:t>
            </w:r>
          </w:p>
        </w:tc>
      </w:tr>
      <w:tr>
        <w:tc>
          <w:tcPr>
            <w:tcW w:type="dxa" w:w="1928"/>
          </w:tcPr>
          <w:p>
            <w:pPr>
              <w:spacing w:after="0" w:before="0"/>
            </w:pPr>
            <w:r/>
            <w:r>
              <w:rPr>
                <w:color w:val="1A1A1A"/>
                <w:sz w:val="19"/>
              </w:rPr>
              <w:t>Combination Engine</w:t>
            </w:r>
          </w:p>
        </w:tc>
        <w:tc>
          <w:tcPr>
            <w:tcW w:type="dxa" w:w="1928"/>
          </w:tcPr>
          <w:p>
            <w:pPr>
              <w:spacing w:after="0" w:before="0"/>
            </w:pPr>
            <w:r/>
            <w:r>
              <w:rPr>
                <w:color w:val="1A1A1A"/>
                <w:sz w:val="19"/>
              </w:rPr>
              <w:t>● Pairwise</w:t>
            </w:r>
          </w:p>
        </w:tc>
        <w:tc>
          <w:tcPr>
            <w:tcW w:type="dxa" w:w="1928"/>
          </w:tcPr>
          <w:p>
            <w:pPr>
              <w:spacing w:after="0" w:before="0"/>
            </w:pPr>
            <w:r/>
            <w:r>
              <w:rPr>
                <w:color w:val="1A1A1A"/>
                <w:sz w:val="19"/>
              </w:rPr>
              <w:t>○</w:t>
            </w:r>
          </w:p>
        </w:tc>
        <w:tc>
          <w:tcPr>
            <w:tcW w:type="dxa" w:w="1928"/>
          </w:tcPr>
          <w:p>
            <w:pPr>
              <w:spacing w:after="0" w:before="0"/>
            </w:pPr>
            <w:r/>
            <w:r>
              <w:rPr>
                <w:color w:val="1A1A1A"/>
                <w:sz w:val="19"/>
              </w:rPr>
              <w:t>◐ Three-way</w:t>
            </w:r>
          </w:p>
        </w:tc>
        <w:tc>
          <w:tcPr>
            <w:tcW w:type="dxa" w:w="1928"/>
          </w:tcPr>
          <w:p>
            <w:pPr>
              <w:spacing w:after="0" w:before="0"/>
            </w:pPr>
            <w:r/>
            <w:r>
              <w:rPr>
                <w:color w:val="1A1A1A"/>
                <w:sz w:val="19"/>
              </w:rPr>
              <w:t>Knowledge Approval</w:t>
            </w:r>
          </w:p>
        </w:tc>
      </w:tr>
      <w:tr>
        <w:tc>
          <w:tcPr>
            <w:tcW w:type="dxa" w:w="1928"/>
            <w:shd w:val="clear" w:fill="F2F5FA"/>
          </w:tcPr>
          <w:p>
            <w:pPr>
              <w:spacing w:after="0" w:before="0"/>
            </w:pPr>
            <w:r/>
            <w:r>
              <w:rPr>
                <w:color w:val="1A1A1A"/>
                <w:sz w:val="19"/>
              </w:rPr>
              <w:t>Scenario Builder</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Combination Engine</w:t>
            </w:r>
          </w:p>
        </w:tc>
      </w:tr>
      <w:tr>
        <w:tc>
          <w:tcPr>
            <w:tcW w:type="dxa" w:w="1928"/>
          </w:tcPr>
          <w:p>
            <w:pPr>
              <w:spacing w:after="0" w:before="0"/>
            </w:pPr>
            <w:r/>
            <w:r>
              <w:rPr>
                <w:color w:val="1A1A1A"/>
                <w:sz w:val="19"/>
              </w:rPr>
              <w:t>Scenario Approval</w:t>
            </w:r>
          </w:p>
        </w:tc>
        <w:tc>
          <w:tcPr>
            <w:tcW w:type="dxa" w:w="1928"/>
          </w:tcPr>
          <w:p>
            <w:pPr>
              <w:spacing w:after="0" w:before="0"/>
            </w:pPr>
            <w:r/>
            <w:r>
              <w:rPr>
                <w:color w:val="1A1A1A"/>
                <w:sz w:val="19"/>
              </w:rPr>
              <w:t>● Review interface</w:t>
            </w:r>
          </w:p>
        </w:tc>
        <w:tc>
          <w:tcPr>
            <w:tcW w:type="dxa" w:w="1928"/>
          </w:tcPr>
          <w:p>
            <w:pPr>
              <w:spacing w:after="0" w:before="0"/>
            </w:pPr>
            <w:r/>
            <w:r>
              <w:rPr>
                <w:color w:val="1A1A1A"/>
                <w:sz w:val="19"/>
              </w:rPr>
              <w:t>◐ Dashboard</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r>
      <w:tr>
        <w:tc>
          <w:tcPr>
            <w:tcW w:type="dxa" w:w="1928"/>
            <w:shd w:val="clear" w:fill="F2F5FA"/>
          </w:tcPr>
          <w:p>
            <w:pPr>
              <w:spacing w:after="0" w:before="0"/>
            </w:pPr>
            <w:r/>
            <w:r>
              <w:rPr>
                <w:color w:val="1A1A1A"/>
                <w:sz w:val="19"/>
              </w:rPr>
              <w:t>Test Prioritization</w:t>
            </w:r>
          </w:p>
        </w:tc>
        <w:tc>
          <w:tcPr>
            <w:tcW w:type="dxa" w:w="1928"/>
            <w:shd w:val="clear" w:fill="F2F5FA"/>
          </w:tcPr>
          <w:p>
            <w:pPr>
              <w:spacing w:after="0" w:before="0"/>
            </w:pPr>
            <w:r/>
            <w:r>
              <w:rPr>
                <w:color w:val="1A1A1A"/>
                <w:sz w:val="19"/>
              </w:rPr>
              <w:t>● Rule-based</w:t>
            </w:r>
          </w:p>
        </w:tc>
        <w:tc>
          <w:tcPr>
            <w:tcW w:type="dxa" w:w="1928"/>
            <w:shd w:val="clear" w:fill="F2F5FA"/>
          </w:tcPr>
          <w:p>
            <w:pPr>
              <w:spacing w:after="0" w:before="0"/>
            </w:pPr>
            <w:r/>
            <w:r>
              <w:rPr>
                <w:color w:val="1A1A1A"/>
                <w:sz w:val="19"/>
              </w:rPr>
              <w:t>◐ Spec-change-aware</w:t>
            </w:r>
          </w:p>
        </w:tc>
        <w:tc>
          <w:tcPr>
            <w:tcW w:type="dxa" w:w="1928"/>
            <w:shd w:val="clear" w:fill="F2F5FA"/>
          </w:tcPr>
          <w:p>
            <w:pPr>
              <w:spacing w:after="0" w:before="0"/>
            </w:pPr>
            <w:r/>
            <w:r>
              <w:rPr>
                <w:color w:val="1A1A1A"/>
                <w:sz w:val="19"/>
              </w:rPr>
              <w:t>◐ Failure-history informed</w:t>
            </w:r>
          </w:p>
        </w:tc>
        <w:tc>
          <w:tcPr>
            <w:tcW w:type="dxa" w:w="1928"/>
            <w:shd w:val="clear" w:fill="F2F5FA"/>
          </w:tcPr>
          <w:p>
            <w:pPr>
              <w:spacing w:after="0" w:before="0"/>
            </w:pPr>
            <w:r/>
            <w:r>
              <w:rPr>
                <w:color w:val="1A1A1A"/>
                <w:sz w:val="19"/>
              </w:rPr>
              <w:t>Scenario Approval</w:t>
            </w:r>
          </w:p>
        </w:tc>
      </w:tr>
      <w:tr>
        <w:tc>
          <w:tcPr>
            <w:tcW w:type="dxa" w:w="1928"/>
          </w:tcPr>
          <w:p>
            <w:pPr>
              <w:spacing w:after="0" w:before="0"/>
            </w:pPr>
            <w:r/>
            <w:r>
              <w:rPr>
                <w:color w:val="1A1A1A"/>
                <w:sz w:val="19"/>
              </w:rPr>
              <w:t>Test Case Composer</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Scenario Approval</w:t>
            </w:r>
          </w:p>
        </w:tc>
      </w:tr>
      <w:tr>
        <w:tc>
          <w:tcPr>
            <w:tcW w:type="dxa" w:w="1928"/>
            <w:shd w:val="clear" w:fill="F2F5FA"/>
          </w:tcPr>
          <w:p>
            <w:pPr>
              <w:spacing w:after="0" w:before="0"/>
            </w:pPr>
            <w:r/>
            <w:r>
              <w:rPr>
                <w:color w:val="1A1A1A"/>
                <w:sz w:val="19"/>
              </w:rPr>
              <w:t>Expected Response Builder</w:t>
            </w:r>
          </w:p>
        </w:tc>
        <w:tc>
          <w:tcPr>
            <w:tcW w:type="dxa" w:w="1928"/>
            <w:shd w:val="clear" w:fill="F2F5FA"/>
          </w:tcPr>
          <w:p>
            <w:pPr>
              <w:spacing w:after="0" w:before="0"/>
            </w:pPr>
            <w:r/>
            <w:r>
              <w:rPr>
                <w:color w:val="1A1A1A"/>
                <w:sz w:val="19"/>
              </w:rPr>
              <w:t>● Spec-based</w:t>
            </w:r>
          </w:p>
        </w:tc>
        <w:tc>
          <w:tcPr>
            <w:tcW w:type="dxa" w:w="1928"/>
            <w:shd w:val="clear" w:fill="F2F5FA"/>
          </w:tcPr>
          <w:p>
            <w:pPr>
              <w:spacing w:after="0" w:before="0"/>
            </w:pPr>
            <w:r/>
            <w:r>
              <w:rPr>
                <w:color w:val="1A1A1A"/>
                <w:sz w:val="19"/>
              </w:rPr>
              <w:t>◐ Code rules</w:t>
            </w:r>
          </w:p>
        </w:tc>
        <w:tc>
          <w:tcPr>
            <w:tcW w:type="dxa" w:w="1928"/>
            <w:shd w:val="clear" w:fill="F2F5FA"/>
          </w:tcPr>
          <w:p>
            <w:pPr>
              <w:spacing w:after="0" w:before="0"/>
            </w:pPr>
            <w:r/>
            <w:r>
              <w:rPr>
                <w:color w:val="1A1A1A"/>
                <w:sz w:val="19"/>
              </w:rPr>
              <w:t>◐ Baseline data</w:t>
            </w:r>
          </w:p>
        </w:tc>
        <w:tc>
          <w:tcPr>
            <w:tcW w:type="dxa" w:w="1928"/>
            <w:shd w:val="clear" w:fill="F2F5FA"/>
          </w:tcPr>
          <w:p>
            <w:pPr>
              <w:spacing w:after="0" w:before="0"/>
            </w:pPr>
            <w:r/>
            <w:r>
              <w:rPr>
                <w:color w:val="1A1A1A"/>
                <w:sz w:val="19"/>
              </w:rPr>
              <w:t>—</w:t>
            </w:r>
          </w:p>
        </w:tc>
      </w:tr>
      <w:tr>
        <w:tc>
          <w:tcPr>
            <w:tcW w:type="dxa" w:w="1928"/>
          </w:tcPr>
          <w:p>
            <w:pPr>
              <w:spacing w:after="0" w:before="0"/>
            </w:pPr>
            <w:r/>
            <w:r>
              <w:rPr>
                <w:color w:val="1A1A1A"/>
                <w:sz w:val="19"/>
              </w:rPr>
              <w:t>Test Case Approval</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r>
      <w:tr>
        <w:tc>
          <w:tcPr>
            <w:tcW w:type="dxa" w:w="1928"/>
            <w:shd w:val="clear" w:fill="F2F5FA"/>
          </w:tcPr>
          <w:p>
            <w:pPr>
              <w:spacing w:after="0" w:before="0"/>
            </w:pPr>
            <w:r/>
            <w:r>
              <w:rPr>
                <w:color w:val="1A1A1A"/>
                <w:sz w:val="19"/>
              </w:rPr>
              <w:t>Coverage Reporting</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w:t>
            </w:r>
          </w:p>
        </w:tc>
        <w:tc>
          <w:tcPr>
            <w:tcW w:type="dxa" w:w="1928"/>
            <w:shd w:val="clear" w:fill="F2F5FA"/>
          </w:tcPr>
          <w:p>
            <w:pPr>
              <w:spacing w:after="0" w:before="0"/>
            </w:pPr>
            <w:r/>
            <w:r>
              <w:rPr>
                <w:color w:val="1A1A1A"/>
                <w:sz w:val="19"/>
              </w:rPr>
              <w:t>Scenario Approval</w:t>
            </w:r>
          </w:p>
        </w:tc>
      </w:tr>
      <w:tr>
        <w:tc>
          <w:tcPr>
            <w:tcW w:type="dxa" w:w="1928"/>
          </w:tcPr>
          <w:p>
            <w:pPr>
              <w:spacing w:after="0" w:before="0"/>
            </w:pPr>
            <w:r/>
            <w:r>
              <w:rPr>
                <w:color w:val="1A1A1A"/>
                <w:sz w:val="19"/>
              </w:rPr>
              <w:t>Change Management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w:t>
            </w:r>
          </w:p>
        </w:tc>
        <w:tc>
          <w:tcPr>
            <w:tcW w:type="dxa" w:w="1928"/>
          </w:tcPr>
          <w:p>
            <w:pPr>
              <w:spacing w:after="0" w:before="0"/>
            </w:pPr>
            <w:r/>
            <w:r>
              <w:rPr>
                <w:color w:val="1A1A1A"/>
                <w:sz w:val="19"/>
              </w:rPr>
              <w:t>Phase 1 extraction</w:t>
            </w:r>
          </w:p>
        </w:tc>
      </w:tr>
      <w:tr>
        <w:tc>
          <w:tcPr>
            <w:tcW w:type="dxa" w:w="1928"/>
            <w:shd w:val="clear" w:fill="F2F5FA"/>
          </w:tcPr>
          <w:p>
            <w:pPr>
              <w:spacing w:after="0" w:before="0"/>
            </w:pPr>
            <w:r/>
            <w:r>
              <w:rPr>
                <w:color w:val="1A1A1A"/>
                <w:sz w:val="19"/>
              </w:rPr>
              <w:t>Feedback Capture and Application</w:t>
            </w:r>
          </w:p>
        </w:tc>
        <w:tc>
          <w:tcPr>
            <w:tcW w:type="dxa" w:w="1928"/>
            <w:shd w:val="clear" w:fill="F2F5FA"/>
          </w:tcPr>
          <w:p>
            <w:pPr>
              <w:spacing w:after="0" w:before="0"/>
            </w:pPr>
            <w:r/>
            <w:r>
              <w:rPr>
                <w:color w:val="1A1A1A"/>
                <w:sz w:val="19"/>
              </w:rPr>
              <w:t>● Captured</w:t>
            </w:r>
          </w:p>
        </w:tc>
        <w:tc>
          <w:tcPr>
            <w:tcW w:type="dxa" w:w="1928"/>
            <w:shd w:val="clear" w:fill="F2F5FA"/>
          </w:tcPr>
          <w:p>
            <w:pPr>
              <w:spacing w:after="0" w:before="0"/>
            </w:pPr>
            <w:r/>
            <w:r>
              <w:rPr>
                <w:color w:val="1A1A1A"/>
                <w:sz w:val="19"/>
              </w:rPr>
              <w:t>◐ Applied</w:t>
            </w:r>
          </w:p>
        </w:tc>
        <w:tc>
          <w:tcPr>
            <w:tcW w:type="dxa" w:w="1928"/>
            <w:shd w:val="clear" w:fill="F2F5FA"/>
          </w:tcPr>
          <w:p>
            <w:pPr>
              <w:spacing w:after="0" w:before="0"/>
            </w:pPr>
            <w:r/>
            <w:r>
              <w:rPr>
                <w:color w:val="1A1A1A"/>
                <w:sz w:val="19"/>
              </w:rPr>
              <w:t>◐ Automated</w:t>
            </w:r>
          </w:p>
        </w:tc>
        <w:tc>
          <w:tcPr>
            <w:tcW w:type="dxa" w:w="1928"/>
            <w:shd w:val="clear" w:fill="F2F5FA"/>
          </w:tcPr>
          <w:p>
            <w:pPr>
              <w:spacing w:after="0" w:before="0"/>
            </w:pPr>
            <w:r/>
            <w:r>
              <w:rPr>
                <w:color w:val="1A1A1A"/>
                <w:sz w:val="19"/>
              </w:rPr>
              <w:t>—</w:t>
            </w:r>
          </w:p>
        </w:tc>
      </w:tr>
    </w:tbl>
    <w:p>
      <w:pPr>
        <w:spacing w:after="120"/>
      </w:pPr>
    </w:p>
    <w:p>
      <w:pPr>
        <w:spacing w:after="120" w:before="0" w:line="276" w:lineRule="auto"/>
      </w:pPr>
      <w:r>
        <w:rPr>
          <w:b/>
          <w:color w:val="1A1A1A"/>
          <w:sz w:val="21"/>
        </w:rPr>
        <w:t>Delivery Scope</w:t>
      </w:r>
    </w:p>
    <w:tbl>
      <w:tblPr>
        <w:tblW w:type="auto" w:w="0"/>
        <w:jc w:val="center"/>
        <w:tblLayout w:type="autofit"/>
        <w:tblLook w:firstColumn="1" w:firstRow="1" w:lastColumn="0" w:lastRow="0" w:noHBand="0" w:noVBand="1" w:val="04A0"/>
        <w:tblBorders>
          <w:top w:val="single" w:sz="6" w:color="1F3864"/>
          <w:bottom w:val="single" w:sz="6" w:color="1F3864"/>
          <w:insideH w:val="single" w:sz="3" w:color="C9D2E0"/>
          <w:left w:val="none"/>
          <w:right w:val="none"/>
          <w:insideV w:val="none"/>
        </w:tblBorders>
        <w:tblCellMar>
          <w:top w:w="60" w:type="dxa"/>
          <w:bottom w:w="60" w:type="dxa"/>
          <w:left w:w="100" w:type="dxa"/>
          <w:right w:w="100" w:type="dxa"/>
        </w:tblCellMar>
      </w:tblPr>
      <w:tblGrid>
        <w:gridCol w:w="2409"/>
        <w:gridCol w:w="2409"/>
        <w:gridCol w:w="2409"/>
        <w:gridCol w:w="2409"/>
      </w:tblGrid>
      <w:tr>
        <w:tc>
          <w:tcPr>
            <w:tcW w:type="dxa" w:w="2409"/>
            <w:shd w:val="clear" w:fill="1F3864"/>
          </w:tcPr>
          <w:p>
            <w:pPr>
              <w:spacing w:after="0" w:before="0"/>
            </w:pPr>
            <w:r/>
            <w:r>
              <w:rPr>
                <w:b/>
                <w:color w:val="FFFFFF"/>
                <w:sz w:val="19"/>
              </w:rPr>
            </w:r>
          </w:p>
        </w:tc>
        <w:tc>
          <w:tcPr>
            <w:tcW w:type="dxa" w:w="2409"/>
            <w:shd w:val="clear" w:fill="1F3864"/>
          </w:tcPr>
          <w:p>
            <w:pPr>
              <w:spacing w:after="0" w:before="0"/>
            </w:pPr>
            <w:r/>
            <w:r>
              <w:rPr>
                <w:b/>
                <w:color w:val="FFFFFF"/>
                <w:sz w:val="19"/>
              </w:rPr>
              <w:t>Phase 1</w:t>
            </w:r>
          </w:p>
        </w:tc>
        <w:tc>
          <w:tcPr>
            <w:tcW w:type="dxa" w:w="2409"/>
            <w:shd w:val="clear" w:fill="1F3864"/>
          </w:tcPr>
          <w:p>
            <w:pPr>
              <w:spacing w:after="0" w:before="0"/>
            </w:pPr>
            <w:r/>
            <w:r>
              <w:rPr>
                <w:b/>
                <w:color w:val="FFFFFF"/>
                <w:sz w:val="19"/>
              </w:rPr>
              <w:t>Phase 2</w:t>
            </w:r>
          </w:p>
        </w:tc>
        <w:tc>
          <w:tcPr>
            <w:tcW w:type="dxa" w:w="2409"/>
            <w:shd w:val="clear" w:fill="1F3864"/>
          </w:tcPr>
          <w:p>
            <w:pPr>
              <w:spacing w:after="0" w:before="0"/>
            </w:pPr>
            <w:r/>
            <w:r>
              <w:rPr>
                <w:b/>
                <w:color w:val="FFFFFF"/>
                <w:sz w:val="19"/>
              </w:rPr>
              <w:t>Phase 3</w:t>
            </w:r>
          </w:p>
        </w:tc>
      </w:tr>
      <w:tr>
        <w:tc>
          <w:tcPr>
            <w:tcW w:type="dxa" w:w="2409"/>
          </w:tcPr>
          <w:p>
            <w:pPr>
              <w:spacing w:after="0" w:before="0"/>
            </w:pPr>
            <w:r/>
            <w:r>
              <w:rPr>
                <w:b/>
                <w:color w:val="1A1A1A"/>
                <w:sz w:val="19"/>
              </w:rPr>
              <w:t>Specifications covered</w:t>
            </w:r>
          </w:p>
        </w:tc>
        <w:tc>
          <w:tcPr>
            <w:tcW w:type="dxa" w:w="2409"/>
          </w:tcPr>
          <w:p>
            <w:pPr>
              <w:spacing w:after="0" w:before="0"/>
            </w:pPr>
            <w:r/>
            <w:r>
              <w:rPr>
                <w:color w:val="1A1A1A"/>
                <w:sz w:val="19"/>
              </w:rPr>
              <w:t>One specification</w:t>
            </w:r>
          </w:p>
        </w:tc>
        <w:tc>
          <w:tcPr>
            <w:tcW w:type="dxa" w:w="2409"/>
          </w:tcPr>
          <w:p>
            <w:pPr>
              <w:spacing w:after="0" w:before="0"/>
            </w:pPr>
            <w:r/>
            <w:r>
              <w:rPr>
                <w:color w:val="1A1A1A"/>
                <w:sz w:val="19"/>
              </w:rPr>
              <w:t>Two to three specifications</w:t>
            </w:r>
          </w:p>
        </w:tc>
        <w:tc>
          <w:tcPr>
            <w:tcW w:type="dxa" w:w="2409"/>
          </w:tcPr>
          <w:p>
            <w:pPr>
              <w:spacing w:after="0" w:before="0"/>
            </w:pPr>
            <w:r/>
            <w:r>
              <w:rPr>
                <w:color w:val="1A1A1A"/>
                <w:sz w:val="19"/>
              </w:rPr>
              <w:t>All agreed formats</w:t>
            </w:r>
          </w:p>
        </w:tc>
      </w:tr>
      <w:tr>
        <w:tc>
          <w:tcPr>
            <w:tcW w:type="dxa" w:w="2409"/>
            <w:shd w:val="clear" w:fill="F2F5FA"/>
          </w:tcPr>
          <w:p>
            <w:pPr>
              <w:spacing w:after="0" w:before="0"/>
            </w:pPr>
            <w:r/>
            <w:r>
              <w:rPr>
                <w:b/>
                <w:color w:val="1A1A1A"/>
                <w:sz w:val="19"/>
              </w:rPr>
              <w:t>Data store</w:t>
            </w:r>
          </w:p>
        </w:tc>
        <w:tc>
          <w:tcPr>
            <w:tcW w:type="dxa" w:w="2409"/>
            <w:shd w:val="clear" w:fill="F2F5FA"/>
          </w:tcPr>
          <w:p>
            <w:pPr>
              <w:spacing w:after="0" w:before="0"/>
            </w:pPr>
            <w:r/>
            <w:r>
              <w:rPr>
                <w:color w:val="1A1A1A"/>
                <w:sz w:val="19"/>
              </w:rPr>
              <w:t>File-based</w:t>
            </w:r>
          </w:p>
        </w:tc>
        <w:tc>
          <w:tcPr>
            <w:tcW w:type="dxa" w:w="2409"/>
            <w:shd w:val="clear" w:fill="F2F5FA"/>
          </w:tcPr>
          <w:p>
            <w:pPr>
              <w:spacing w:after="0" w:before="0"/>
            </w:pPr>
            <w:r/>
            <w:r>
              <w:rPr>
                <w:color w:val="1A1A1A"/>
                <w:sz w:val="19"/>
              </w:rPr>
              <w:t>Relational database</w:t>
            </w:r>
          </w:p>
        </w:tc>
        <w:tc>
          <w:tcPr>
            <w:tcW w:type="dxa" w:w="2409"/>
            <w:shd w:val="clear" w:fill="F2F5FA"/>
          </w:tcPr>
          <w:p>
            <w:pPr>
              <w:spacing w:after="0" w:before="0"/>
            </w:pPr>
            <w:r/>
            <w:r>
              <w:rPr>
                <w:color w:val="1A1A1A"/>
                <w:sz w:val="19"/>
              </w:rPr>
              <w:t>Cloud-managed database</w:t>
            </w:r>
          </w:p>
        </w:tc>
      </w:tr>
      <w:tr>
        <w:tc>
          <w:tcPr>
            <w:tcW w:type="dxa" w:w="2409"/>
          </w:tcPr>
          <w:p>
            <w:pPr>
              <w:spacing w:after="0" w:before="0"/>
            </w:pPr>
            <w:r/>
            <w:r>
              <w:rPr>
                <w:b/>
                <w:color w:val="1A1A1A"/>
                <w:sz w:val="19"/>
              </w:rPr>
              <w:t>Dashboard</w:t>
            </w:r>
          </w:p>
        </w:tc>
        <w:tc>
          <w:tcPr>
            <w:tcW w:type="dxa" w:w="2409"/>
          </w:tcPr>
          <w:p>
            <w:pPr>
              <w:spacing w:after="0" w:before="0"/>
            </w:pPr>
            <w:r/>
            <w:r>
              <w:rPr>
                <w:color w:val="1A1A1A"/>
                <w:sz w:val="19"/>
              </w:rPr>
              <w:t>Internal development view</w:t>
            </w:r>
          </w:p>
        </w:tc>
        <w:tc>
          <w:tcPr>
            <w:tcW w:type="dxa" w:w="2409"/>
          </w:tcPr>
          <w:p>
            <w:pPr>
              <w:spacing w:after="0" w:before="0"/>
            </w:pPr>
            <w:r/>
            <w:r>
              <w:rPr>
                <w:color w:val="1A1A1A"/>
                <w:sz w:val="19"/>
              </w:rPr>
              <w:t>Core views</w:t>
            </w:r>
          </w:p>
        </w:tc>
        <w:tc>
          <w:tcPr>
            <w:tcW w:type="dxa" w:w="2409"/>
          </w:tcPr>
          <w:p>
            <w:pPr>
              <w:spacing w:after="0" w:before="0"/>
            </w:pPr>
            <w:r/>
            <w:r>
              <w:rPr>
                <w:color w:val="1A1A1A"/>
                <w:sz w:val="19"/>
              </w:rPr>
              <w:t>Complete views</w:t>
            </w:r>
          </w:p>
        </w:tc>
      </w:tr>
      <w:tr>
        <w:tc>
          <w:tcPr>
            <w:tcW w:type="dxa" w:w="2409"/>
            <w:shd w:val="clear" w:fill="F2F5FA"/>
          </w:tcPr>
          <w:p>
            <w:pPr>
              <w:spacing w:after="0" w:before="0"/>
            </w:pPr>
            <w:r/>
            <w:r>
              <w:rPr>
                <w:b/>
                <w:color w:val="1A1A1A"/>
                <w:sz w:val="19"/>
              </w:rPr>
              <w:t>Environment</w:t>
            </w:r>
          </w:p>
        </w:tc>
        <w:tc>
          <w:tcPr>
            <w:tcW w:type="dxa" w:w="2409"/>
            <w:shd w:val="clear" w:fill="F2F5FA"/>
          </w:tcPr>
          <w:p>
            <w:pPr>
              <w:spacing w:after="0" w:before="0"/>
            </w:pPr>
            <w:r/>
            <w:r>
              <w:rPr>
                <w:color w:val="1A1A1A"/>
                <w:sz w:val="19"/>
              </w:rPr>
              <w:t>Local</w:t>
            </w:r>
          </w:p>
        </w:tc>
        <w:tc>
          <w:tcPr>
            <w:tcW w:type="dxa" w:w="2409"/>
            <w:shd w:val="clear" w:fill="F2F5FA"/>
          </w:tcPr>
          <w:p>
            <w:pPr>
              <w:spacing w:after="0" w:before="0"/>
            </w:pPr>
            <w:r/>
            <w:r>
              <w:rPr>
                <w:color w:val="1A1A1A"/>
                <w:sz w:val="19"/>
              </w:rPr>
              <w:t>Local</w:t>
            </w:r>
          </w:p>
        </w:tc>
        <w:tc>
          <w:tcPr>
            <w:tcW w:type="dxa" w:w="2409"/>
            <w:shd w:val="clear" w:fill="F2F5FA"/>
          </w:tcPr>
          <w:p>
            <w:pPr>
              <w:spacing w:after="0" w:before="0"/>
            </w:pPr>
            <w:r/>
            <w:r>
              <w:rPr>
                <w:color w:val="1A1A1A"/>
                <w:sz w:val="19"/>
              </w:rPr>
              <w:t>Cloud production deployment</w:t>
            </w:r>
          </w:p>
        </w:tc>
      </w:tr>
    </w:tbl>
    <w:p>
      <w:pPr>
        <w:spacing w:after="120"/>
      </w:pPr>
    </w:p>
    <w:p>
      <w:pPr>
        <w:spacing w:after="120" w:before="0" w:line="276" w:lineRule="auto"/>
      </w:pPr>
      <w:r>
        <w:rPr>
          <w:i/>
          <w:color w:val="1A1A1A"/>
          <w:sz w:val="21"/>
        </w:rPr>
        <w:t>Phase 4 refreshes all supported specifications to their current versions and completes handover. No new capability is introduced.</w:t>
      </w:r>
    </w:p>
    <w:p>
      <w:pPr>
        <w:keepNext/>
        <w:spacing w:before="320" w:after="120"/>
        <w:pBdr>
          <w:bottom w:val="single" w:sz="6" w:space="4" w:color="1F3864"/>
        </w:pBdr>
      </w:pPr>
      <w:r>
        <w:rPr>
          <w:b/>
          <w:color w:val="1F3864"/>
          <w:sz w:val="30"/>
        </w:rPr>
        <w:t>5. How Coverage Is Calculated</w:t>
      </w:r>
    </w:p>
    <w:p>
      <w:pPr>
        <w:keepLines/>
        <w:spacing w:before="80" w:after="80"/>
        <w:jc w:val="center"/>
      </w:pPr>
      <w:r>
        <w:drawing>
          <wp:inline xmlns:a="http://schemas.openxmlformats.org/drawingml/2006/main" xmlns:pic="http://schemas.openxmlformats.org/drawingml/2006/picture">
            <wp:extent cx="6120000" cy="3200250"/>
            <wp:docPr id="3" name="Picture 3"/>
            <wp:cNvGraphicFramePr>
              <a:graphicFrameLocks noChangeAspect="1"/>
            </wp:cNvGraphicFramePr>
            <a:graphic>
              <a:graphicData uri="http://schemas.openxmlformats.org/drawingml/2006/picture">
                <pic:pic>
                  <pic:nvPicPr>
                    <pic:cNvPr id="0" name="03_coverage_model.png"/>
                    <pic:cNvPicPr/>
                  </pic:nvPicPr>
                  <pic:blipFill>
                    <a:blip r:embed="rId11"/>
                    <a:stretch>
                      <a:fillRect/>
                    </a:stretch>
                  </pic:blipFill>
                  <pic:spPr>
                    <a:xfrm>
                      <a:off x="0" y="0"/>
                      <a:ext cx="6120000" cy="3200250"/>
                    </a:xfrm>
                    <a:prstGeom prst="rect"/>
                  </pic:spPr>
                </pic:pic>
              </a:graphicData>
            </a:graphic>
          </wp:inline>
        </w:drawing>
      </w:r>
    </w:p>
    <w:p>
      <w:pPr>
        <w:spacing w:before="0" w:after="240"/>
        <w:jc w:val="center"/>
      </w:pPr>
      <w:r>
        <w:rPr>
          <w:i/>
          <w:color w:val="5A5A5A"/>
          <w:sz w:val="18"/>
        </w:rPr>
        <w:t>Coverage Model</w:t>
      </w:r>
    </w:p>
    <w:p>
      <w:pPr>
        <w:spacing w:after="120" w:before="0" w:line="276" w:lineRule="auto"/>
      </w:pPr>
      <w:r>
        <w:rPr>
          <w:color w:val="1A1A1A"/>
          <w:sz w:val="21"/>
        </w:rPr>
        <w:t xml:space="preserve">Coverage is measured against the </w:t>
      </w:r>
      <w:r>
        <w:rPr>
          <w:b/>
          <w:color w:val="1A1A1A"/>
          <w:sz w:val="21"/>
        </w:rPr>
        <w:t>Approved Scenario Catalog</w:t>
      </w:r>
      <w:r>
        <w:rPr>
          <w:color w:val="1A1A1A"/>
          <w:sz w:val="21"/>
        </w:rPr>
        <w:t xml:space="preserve"> — the list of business scenarios validated by a subject matter expert.</w:t>
      </w:r>
    </w:p>
    <w:p>
      <w:pPr>
        <w:spacing w:after="120" w:before="0" w:line="276" w:lineRule="auto"/>
      </w:pPr>
      <w:r>
        <w:rPr>
          <w:b/>
          <w:color w:val="1A1A1A"/>
          <w:sz w:val="21"/>
        </w:rPr>
        <w:t>How the catalog is built</w:t>
      </w:r>
    </w:p>
    <w:p>
      <w:pPr>
        <w:spacing w:after="80" w:line="276" w:lineRule="auto"/>
        <w:ind w:left="454"/>
      </w:pPr>
      <w:r>
        <w:rPr>
          <w:color w:val="1A1A1A"/>
          <w:sz w:val="21"/>
        </w:rPr>
        <w:t>1.  The platform generates candidate scenarios from the approved knowledge model — every valid combination of transaction type, card type, entry mode, and feature settings, each one named and classified as a positive or negative test.</w:t>
      </w:r>
    </w:p>
    <w:p>
      <w:pPr>
        <w:spacing w:after="80" w:line="276" w:lineRule="auto"/>
        <w:ind w:left="454"/>
      </w:pPr>
      <w:r>
        <w:rPr>
          <w:color w:val="1A1A1A"/>
          <w:sz w:val="21"/>
        </w:rPr>
        <w:t>2.  At Scenario Approval, the expert reviews the candidate list, removes scenarios that are not relevant, and adds scenarios that domain knowledge says must be tested but the platform did not generate.</w:t>
      </w:r>
    </w:p>
    <w:p>
      <w:pPr>
        <w:spacing w:after="80" w:line="276" w:lineRule="auto"/>
        <w:ind w:left="454"/>
      </w:pPr>
      <w:r>
        <w:rPr>
          <w:color w:val="1A1A1A"/>
          <w:sz w:val="21"/>
        </w:rPr>
        <w:t>3.  Platform-generated and expert-added scenarios are merged and deduplicated into the Approved Scenario Catalog.</w:t>
      </w:r>
    </w:p>
    <w:p>
      <w:pPr>
        <w:spacing w:after="120" w:before="0" w:line="276" w:lineRule="auto"/>
      </w:pPr>
      <w:r>
        <w:rPr>
          <w:b/>
          <w:color w:val="1A1A1A"/>
          <w:sz w:val="21"/>
        </w:rPr>
        <w:t>Coverage formula</w:t>
      </w:r>
    </w:p>
    <w:p>
      <w:pPr>
        <w:spacing w:before="160" w:after="160"/>
        <w:ind w:left="340"/>
        <w:pBdr>
          <w:left w:val="single" w:sz="18" w:space="8" w:color="1F3864"/>
        </w:pBdr>
      </w:pPr>
      <w:r>
        <w:rPr>
          <w:b/>
          <w:color w:val="1F3864"/>
          <w:sz w:val="21"/>
        </w:rPr>
        <w:t>Coverage = scenarios with a generated test case ÷ total scenarios in the Approved Scenario Catalog × 100</w:t>
      </w:r>
    </w:p>
    <w:p>
      <w:pPr>
        <w:spacing w:after="120" w:before="0" w:line="276" w:lineRule="auto"/>
      </w:pPr>
      <w:r>
        <w:rPr>
          <w:b/>
          <w:color w:val="1A1A1A"/>
          <w:sz w:val="21"/>
        </w:rPr>
        <w:t>Example</w:t>
      </w:r>
    </w:p>
    <w:tbl>
      <w:tblPr>
        <w:tblW w:type="auto" w:w="0"/>
        <w:jc w:val="center"/>
        <w:tblLayout w:type="autofit"/>
        <w:tblLook w:firstColumn="1" w:firstRow="1" w:lastColumn="0" w:lastRow="0" w:noHBand="0" w:noVBand="1" w:val="04A0"/>
        <w:tblBorders>
          <w:top w:val="single" w:sz="6" w:color="1F3864"/>
          <w:bottom w:val="single" w:sz="6" w:color="1F3864"/>
          <w:insideH w:val="single" w:sz="3" w:color="C9D2E0"/>
          <w:left w:val="none"/>
          <w:right w:val="none"/>
          <w:insideV w:val="none"/>
        </w:tblBorders>
        <w:tblCellMar>
          <w:top w:w="60" w:type="dxa"/>
          <w:bottom w:w="60" w:type="dxa"/>
          <w:left w:w="100" w:type="dxa"/>
          <w:right w:w="100" w:type="dxa"/>
        </w:tblCellMar>
      </w:tblPr>
      <w:tblGrid>
        <w:gridCol w:w="4819"/>
        <w:gridCol w:w="4819"/>
      </w:tblGrid>
      <w:tr>
        <w:tc>
          <w:tcPr>
            <w:tcW w:type="dxa" w:w="4819"/>
            <w:shd w:val="clear" w:fill="1F3864"/>
          </w:tcPr>
          <w:p>
            <w:pPr>
              <w:spacing w:after="0" w:before="0"/>
            </w:pPr>
            <w:r/>
            <w:r>
              <w:rPr>
                <w:b/>
                <w:color w:val="FFFFFF"/>
                <w:sz w:val="19"/>
              </w:rPr>
            </w:r>
          </w:p>
        </w:tc>
        <w:tc>
          <w:tcPr>
            <w:tcW w:type="dxa" w:w="4819"/>
            <w:shd w:val="clear" w:fill="1F3864"/>
          </w:tcPr>
          <w:p>
            <w:pPr>
              <w:spacing w:after="0" w:before="0"/>
            </w:pPr>
            <w:r/>
            <w:r>
              <w:rPr>
                <w:b/>
                <w:color w:val="FFFFFF"/>
                <w:sz w:val="19"/>
              </w:rPr>
            </w:r>
          </w:p>
        </w:tc>
      </w:tr>
      <w:tr>
        <w:tc>
          <w:tcPr>
            <w:tcW w:type="dxa" w:w="4819"/>
          </w:tcPr>
          <w:p>
            <w:pPr>
              <w:spacing w:after="0" w:before="0"/>
            </w:pPr>
            <w:r/>
            <w:r>
              <w:rPr>
                <w:color w:val="1A1A1A"/>
                <w:sz w:val="19"/>
              </w:rPr>
              <w:t>Approved Scenario Catalog</w:t>
            </w:r>
          </w:p>
        </w:tc>
        <w:tc>
          <w:tcPr>
            <w:tcW w:type="dxa" w:w="4819"/>
          </w:tcPr>
          <w:p>
            <w:pPr>
              <w:spacing w:after="0" w:before="0"/>
            </w:pPr>
            <w:r/>
            <w:r>
              <w:rPr>
                <w:color w:val="1A1A1A"/>
                <w:sz w:val="19"/>
              </w:rPr>
              <w:t>220</w:t>
            </w:r>
          </w:p>
        </w:tc>
      </w:tr>
      <w:tr>
        <w:tc>
          <w:tcPr>
            <w:tcW w:type="dxa" w:w="4819"/>
            <w:shd w:val="clear" w:fill="F2F5FA"/>
          </w:tcPr>
          <w:p>
            <w:pPr>
              <w:spacing w:after="0" w:before="0"/>
            </w:pPr>
            <w:r/>
            <w:r>
              <w:rPr>
                <w:color w:val="1A1A1A"/>
                <w:sz w:val="19"/>
              </w:rPr>
              <w:t>Scenarios with a generated test case</w:t>
            </w:r>
          </w:p>
        </w:tc>
        <w:tc>
          <w:tcPr>
            <w:tcW w:type="dxa" w:w="4819"/>
            <w:shd w:val="clear" w:fill="F2F5FA"/>
          </w:tcPr>
          <w:p>
            <w:pPr>
              <w:spacing w:after="0" w:before="0"/>
            </w:pPr>
            <w:r/>
            <w:r>
              <w:rPr>
                <w:color w:val="1A1A1A"/>
                <w:sz w:val="19"/>
              </w:rPr>
              <w:t>187</w:t>
            </w:r>
          </w:p>
        </w:tc>
      </w:tr>
      <w:tr>
        <w:tc>
          <w:tcPr>
            <w:tcW w:type="dxa" w:w="4819"/>
          </w:tcPr>
          <w:p>
            <w:pPr>
              <w:spacing w:after="0" w:before="0"/>
            </w:pPr>
            <w:r/>
            <w:r>
              <w:rPr>
                <w:b/>
                <w:color w:val="1A1A1A"/>
                <w:sz w:val="19"/>
              </w:rPr>
              <w:t>Coverage</w:t>
            </w:r>
          </w:p>
        </w:tc>
        <w:tc>
          <w:tcPr>
            <w:tcW w:type="dxa" w:w="4819"/>
          </w:tcPr>
          <w:p>
            <w:pPr>
              <w:spacing w:after="0" w:before="0"/>
            </w:pPr>
            <w:r/>
            <w:r>
              <w:rPr>
                <w:b/>
                <w:color w:val="1A1A1A"/>
                <w:sz w:val="19"/>
              </w:rPr>
              <w:t>85%</w:t>
            </w:r>
          </w:p>
        </w:tc>
      </w:tr>
    </w:tbl>
    <w:p>
      <w:pPr>
        <w:spacing w:after="120"/>
      </w:pPr>
    </w:p>
    <w:p>
      <w:pPr>
        <w:spacing w:after="120" w:before="0" w:line="276" w:lineRule="auto"/>
      </w:pPr>
      <w:r>
        <w:rPr>
          <w:color w:val="1A1A1A"/>
          <w:sz w:val="21"/>
        </w:rPr>
        <w:t>Scenarios without a test case are those awaiting information the specification does not provide. Each is individually flagged with the source needed to resolve it, so the route to closing the gap is always visible.</w:t>
      </w:r>
    </w:p>
    <w:p>
      <w:pPr>
        <w:spacing w:after="120" w:before="0" w:line="276" w:lineRule="auto"/>
      </w:pPr>
      <w:r>
        <w:rPr>
          <w:b/>
          <w:color w:val="1A1A1A"/>
          <w:sz w:val="21"/>
        </w:rPr>
        <w:t>Why this basis.</w:t>
      </w:r>
      <w:r>
        <w:rPr>
          <w:color w:val="1A1A1A"/>
          <w:sz w:val="21"/>
        </w:rPr>
        <w:t xml:space="preserve"> The denominator is a list a subject matter expert has personally reviewed and approved. Coverage is measured against what the business agrees should be tested — not against what the platform happened to generate. The same catalog is reused on every subsequent run, so coverage figures are directly comparable over time.</w:t>
      </w:r>
    </w:p>
    <w:p>
      <w:pPr>
        <w:spacing w:after="120" w:before="0" w:line="276" w:lineRule="auto"/>
      </w:pPr>
      <w:r>
        <w:rPr>
          <w:color w:val="1A1A1A"/>
          <w:sz w:val="21"/>
        </w:rPr>
        <w:t>The platform additionally reports parameter combination coverage as a secondary engineering completeness check across all valid field-value combinations.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