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Aptos Display" w:hAnsi="Aptos Display"/>
          <w:b/>
          <w:color w:val="17324D"/>
          <w:sz w:val="50"/>
        </w:rPr>
        <w:t>Week 4 — AI Deployment &amp; Capstone</w:t>
      </w:r>
    </w:p>
    <w:p>
      <w:pPr>
        <w:spacing w:after="280"/>
        <w:jc w:val="center"/>
      </w:pPr>
      <w:r>
        <w:rPr>
          <w:color w:val="237A7A"/>
          <w:sz w:val="24"/>
        </w:rPr>
        <w:t>Serialized model • FastAPI prediction service • project handoff</w:t>
      </w:r>
    </w:p>
    <w:p>
      <w:pPr>
        <w:spacing w:after="400"/>
        <w:jc w:val="center"/>
      </w:pPr>
      <w:r>
        <w:rPr>
          <w:b/>
          <w:color w:val="646E78"/>
          <w:sz w:val="18"/>
        </w:rPr>
        <w:t>COMPLETED PROJECT REPORT  •  Yuva Internship</w:t>
      </w:r>
    </w:p>
    <w:p>
      <w:pPr>
        <w:spacing w:after="280"/>
        <w:jc w:val="center"/>
      </w:pPr>
      <w:r>
        <w:rPr>
          <w:color w:val="237A7A"/>
          <w:sz w:val="16"/>
        </w:rPr>
        <w:t>Project repository: https://github.com/Dhanam33/Yuva_intern/tree/arena/01a1004b-yuva-intern</w:t>
      </w:r>
    </w:p>
    <w:p>
      <w:pPr>
        <w:pStyle w:val="Heading1"/>
      </w:pPr>
      <w:r>
        <w:t>Executive summary</w:t>
      </w:r>
    </w:p>
    <w:p>
      <w:r>
        <w:t>The capstone packages preprocessing and the tuned classifier into one Joblib artifact, then exposes raw-record predictions through a FastAPI application. The API is runnable locally with interactive documentation and includes basic input validation and tests.</w:t>
      </w:r>
    </w:p>
    <w:p>
      <w:pPr>
        <w:pStyle w:val="Heading1"/>
      </w:pPr>
      <w:r>
        <w:t>End-to-end design</w:t>
      </w:r>
    </w:p>
    <w:tbl>
      <w:tblPr>
        <w:tblStyle w:val="LightShading-Accent1"/>
        <w:tblW w:type="auto" w:w="0"/>
        <w:tblLayout w:type="autofit"/>
        <w:tblLook w:firstColumn="1" w:firstRow="1" w:lastColumn="0" w:lastRow="0" w:noHBand="0" w:noVBand="1" w:val="04A0"/>
      </w:tblPr>
      <w:tblGrid>
        <w:gridCol w:w="4997"/>
        <w:gridCol w:w="4997"/>
      </w:tblGrid>
      <w:tr>
        <w:trPr>
          <w:tblHeader w:val="true"/>
        </w:trPr>
        <w:tc>
          <w:tcPr>
            <w:tcW w:type="dxa" w:w="4997"/>
            <w:vAlign w:val="center"/>
            <w:shd w:fill="17324D"/>
          </w:tcPr>
          <w:p>
            <w:r>
              <w:rPr>
                <w:b/>
                <w:color w:val="FFFFFF"/>
                <w:sz w:val="18"/>
              </w:rPr>
              <w:t>Stage</w:t>
            </w:r>
          </w:p>
        </w:tc>
        <w:tc>
          <w:tcPr>
            <w:tcW w:type="dxa" w:w="4997"/>
            <w:vAlign w:val="center"/>
            <w:shd w:fill="17324D"/>
          </w:tcPr>
          <w:p>
            <w:r>
              <w:rPr>
                <w:b/>
                <w:color w:val="FFFFFF"/>
                <w:sz w:val="18"/>
              </w:rPr>
              <w:t>Implementation</w:t>
            </w:r>
          </w:p>
        </w:tc>
      </w:tr>
      <w:tr>
        <w:tc>
          <w:tcPr>
            <w:tcW w:type="dxa" w:w="4997"/>
            <w:vAlign w:val="center"/>
          </w:tcPr>
          <w:p>
            <w:pPr>
              <w:spacing w:after="40"/>
            </w:pPr>
            <w:r>
              <w:rPr>
                <w:sz w:val="18"/>
              </w:rPr>
              <w:t>Input</w:t>
            </w:r>
          </w:p>
        </w:tc>
        <w:tc>
          <w:tcPr>
            <w:tcW w:type="dxa" w:w="4997"/>
            <w:vAlign w:val="center"/>
          </w:tcPr>
          <w:p>
            <w:pPr>
              <w:spacing w:after="40"/>
            </w:pPr>
            <w:r>
              <w:rPr>
                <w:sz w:val="18"/>
              </w:rPr>
              <w:t>Raw customer fields as JSON; up to 100 records per request; optional/missing values supported</w:t>
            </w:r>
          </w:p>
        </w:tc>
      </w:tr>
      <w:tr>
        <w:tc>
          <w:tcPr>
            <w:tcW w:type="dxa" w:w="4997"/>
            <w:vAlign w:val="center"/>
          </w:tcPr>
          <w:p>
            <w:pPr>
              <w:spacing w:after="40"/>
            </w:pPr>
            <w:r>
              <w:rPr>
                <w:sz w:val="18"/>
              </w:rPr>
              <w:t>Preprocessing</w:t>
            </w:r>
          </w:p>
        </w:tc>
        <w:tc>
          <w:tcPr>
            <w:tcW w:type="dxa" w:w="4997"/>
            <w:vAlign w:val="center"/>
          </w:tcPr>
          <w:p>
            <w:pPr>
              <w:spacing w:after="40"/>
            </w:pPr>
            <w:r>
              <w:rPr>
                <w:sz w:val="18"/>
              </w:rPr>
              <w:t>Median numeric imputation + missing indicators; most-frequent categorical imputation; scaling; one-hot encoding</w:t>
            </w:r>
          </w:p>
        </w:tc>
      </w:tr>
      <w:tr>
        <w:tc>
          <w:tcPr>
            <w:tcW w:type="dxa" w:w="4997"/>
            <w:vAlign w:val="center"/>
          </w:tcPr>
          <w:p>
            <w:pPr>
              <w:spacing w:after="40"/>
            </w:pPr>
            <w:r>
              <w:rPr>
                <w:sz w:val="18"/>
              </w:rPr>
              <w:t>Model</w:t>
            </w:r>
          </w:p>
        </w:tc>
        <w:tc>
          <w:tcPr>
            <w:tcW w:type="dxa" w:w="4997"/>
            <w:vAlign w:val="center"/>
          </w:tcPr>
          <w:p>
            <w:pPr>
              <w:spacing w:after="40"/>
            </w:pPr>
            <w:r>
              <w:rPr>
                <w:sz w:val="18"/>
              </w:rPr>
              <w:t>Logistic Regression; C selected by Week 3 5-fold stratified CV</w:t>
            </w:r>
          </w:p>
        </w:tc>
      </w:tr>
      <w:tr>
        <w:tc>
          <w:tcPr>
            <w:tcW w:type="dxa" w:w="4997"/>
            <w:vAlign w:val="center"/>
          </w:tcPr>
          <w:p>
            <w:pPr>
              <w:spacing w:after="40"/>
            </w:pPr>
            <w:r>
              <w:rPr>
                <w:sz w:val="18"/>
              </w:rPr>
              <w:t>Serialization</w:t>
            </w:r>
          </w:p>
        </w:tc>
        <w:tc>
          <w:tcPr>
            <w:tcW w:type="dxa" w:w="4997"/>
            <w:vAlign w:val="center"/>
          </w:tcPr>
          <w:p>
            <w:pPr>
              <w:spacing w:after="40"/>
            </w:pPr>
            <w:r>
              <w:rPr>
                <w:sz w:val="18"/>
              </w:rPr>
              <w:t>artifacts/churn_model.joblib (full scikit-learn Pipeline)</w:t>
            </w:r>
          </w:p>
        </w:tc>
      </w:tr>
      <w:tr>
        <w:tc>
          <w:tcPr>
            <w:tcW w:type="dxa" w:w="4997"/>
            <w:vAlign w:val="center"/>
          </w:tcPr>
          <w:p>
            <w:pPr>
              <w:spacing w:after="40"/>
            </w:pPr>
            <w:r>
              <w:rPr>
                <w:sz w:val="18"/>
              </w:rPr>
              <w:t>Serving</w:t>
            </w:r>
          </w:p>
        </w:tc>
        <w:tc>
          <w:tcPr>
            <w:tcW w:type="dxa" w:w="4997"/>
            <w:vAlign w:val="center"/>
          </w:tcPr>
          <w:p>
            <w:pPr>
              <w:spacing w:after="40"/>
            </w:pPr>
            <w:r>
              <w:rPr>
                <w:sz w:val="18"/>
              </w:rPr>
              <w:t>FastAPI: GET /health, GET /docs, POST /predict</w:t>
            </w:r>
          </w:p>
        </w:tc>
      </w:tr>
      <w:tr>
        <w:tc>
          <w:tcPr>
            <w:tcW w:type="dxa" w:w="4997"/>
            <w:vAlign w:val="center"/>
          </w:tcPr>
          <w:p>
            <w:pPr>
              <w:spacing w:after="40"/>
            </w:pPr>
            <w:r>
              <w:rPr>
                <w:sz w:val="18"/>
              </w:rPr>
              <w:t>Response</w:t>
            </w:r>
          </w:p>
        </w:tc>
        <w:tc>
          <w:tcPr>
            <w:tcW w:type="dxa" w:w="4997"/>
            <w:vAlign w:val="center"/>
          </w:tcPr>
          <w:p>
            <w:pPr>
              <w:spacing w:after="40"/>
            </w:pPr>
            <w:r>
              <w:rPr>
                <w:sz w:val="18"/>
              </w:rPr>
              <w:t>Predicted label (Yes/No) and churn probability per record</w:t>
            </w:r>
          </w:p>
        </w:tc>
      </w:tr>
    </w:tbl>
    <w:p>
      <w:pPr>
        <w:spacing w:after="20"/>
      </w:pPr>
    </w:p>
    <w:p>
      <w:r>
        <w:t>The final artifact is refit on all 1,800 available synthetic records after the held-out evaluation is recorded. The Week 3 test ROC-AUC was 0.766; the five-fold mean CV ROC-AUC was 0.802 ± 0.022. Those metrics are educational and do not represent a deployed business outcome.</w:t>
      </w:r>
    </w:p>
    <w:p>
      <w:pPr>
        <w:pStyle w:val="Heading1"/>
      </w:pPr>
      <w:r>
        <w:t>API contract</w:t>
      </w:r>
    </w:p>
    <w:tbl>
      <w:tblPr>
        <w:tblStyle w:val="LightShading-Accent1"/>
        <w:tblW w:type="auto" w:w="0"/>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17324D"/>
          </w:tcPr>
          <w:p>
            <w:r>
              <w:rPr>
                <w:b/>
                <w:color w:val="FFFFFF"/>
                <w:sz w:val="18"/>
              </w:rPr>
              <w:t>Route</w:t>
            </w:r>
          </w:p>
        </w:tc>
        <w:tc>
          <w:tcPr>
            <w:tcW w:type="dxa" w:w="3331"/>
            <w:vAlign w:val="center"/>
            <w:shd w:fill="17324D"/>
          </w:tcPr>
          <w:p>
            <w:r>
              <w:rPr>
                <w:b/>
                <w:color w:val="FFFFFF"/>
                <w:sz w:val="18"/>
              </w:rPr>
              <w:t>Purpose</w:t>
            </w:r>
          </w:p>
        </w:tc>
        <w:tc>
          <w:tcPr>
            <w:tcW w:type="dxa" w:w="3331"/>
            <w:vAlign w:val="center"/>
            <w:shd w:fill="17324D"/>
          </w:tcPr>
          <w:p>
            <w:r>
              <w:rPr>
                <w:b/>
                <w:color w:val="FFFFFF"/>
                <w:sz w:val="18"/>
              </w:rPr>
              <w:t>Result</w:t>
            </w:r>
          </w:p>
        </w:tc>
      </w:tr>
      <w:tr>
        <w:tc>
          <w:tcPr>
            <w:tcW w:type="dxa" w:w="3331"/>
            <w:vAlign w:val="center"/>
          </w:tcPr>
          <w:p>
            <w:pPr>
              <w:spacing w:after="40"/>
            </w:pPr>
            <w:r>
              <w:rPr>
                <w:sz w:val="18"/>
              </w:rPr>
              <w:t>GET /</w:t>
            </w:r>
          </w:p>
        </w:tc>
        <w:tc>
          <w:tcPr>
            <w:tcW w:type="dxa" w:w="3331"/>
            <w:vAlign w:val="center"/>
          </w:tcPr>
          <w:p>
            <w:pPr>
              <w:spacing w:after="40"/>
            </w:pPr>
            <w:r>
              <w:rPr>
                <w:sz w:val="18"/>
              </w:rPr>
              <w:t>Service information</w:t>
            </w:r>
          </w:p>
        </w:tc>
        <w:tc>
          <w:tcPr>
            <w:tcW w:type="dxa" w:w="3331"/>
            <w:vAlign w:val="center"/>
          </w:tcPr>
          <w:p>
            <w:pPr>
              <w:spacing w:after="40"/>
            </w:pPr>
            <w:r>
              <w:rPr>
                <w:sz w:val="18"/>
              </w:rPr>
              <w:t>Name, docs path, prediction route</w:t>
            </w:r>
          </w:p>
        </w:tc>
      </w:tr>
      <w:tr>
        <w:tc>
          <w:tcPr>
            <w:tcW w:type="dxa" w:w="3331"/>
            <w:vAlign w:val="center"/>
          </w:tcPr>
          <w:p>
            <w:pPr>
              <w:spacing w:after="40"/>
            </w:pPr>
            <w:r>
              <w:rPr>
                <w:sz w:val="18"/>
              </w:rPr>
              <w:t>GET /health</w:t>
            </w:r>
          </w:p>
        </w:tc>
        <w:tc>
          <w:tcPr>
            <w:tcW w:type="dxa" w:w="3331"/>
            <w:vAlign w:val="center"/>
          </w:tcPr>
          <w:p>
            <w:pPr>
              <w:spacing w:after="40"/>
            </w:pPr>
            <w:r>
              <w:rPr>
                <w:sz w:val="18"/>
              </w:rPr>
              <w:t>Artifact presence check</w:t>
            </w:r>
          </w:p>
        </w:tc>
        <w:tc>
          <w:tcPr>
            <w:tcW w:type="dxa" w:w="3331"/>
            <w:vAlign w:val="center"/>
          </w:tcPr>
          <w:p>
            <w:pPr>
              <w:spacing w:after="40"/>
            </w:pPr>
            <w:r>
              <w:rPr>
                <w:sz w:val="18"/>
              </w:rPr>
              <w:t>status and model_loaded</w:t>
            </w:r>
          </w:p>
        </w:tc>
      </w:tr>
      <w:tr>
        <w:tc>
          <w:tcPr>
            <w:tcW w:type="dxa" w:w="3331"/>
            <w:vAlign w:val="center"/>
          </w:tcPr>
          <w:p>
            <w:pPr>
              <w:spacing w:after="40"/>
            </w:pPr>
            <w:r>
              <w:rPr>
                <w:sz w:val="18"/>
              </w:rPr>
              <w:t>POST /predict</w:t>
            </w:r>
          </w:p>
        </w:tc>
        <w:tc>
          <w:tcPr>
            <w:tcW w:type="dxa" w:w="3331"/>
            <w:vAlign w:val="center"/>
          </w:tcPr>
          <w:p>
            <w:pPr>
              <w:spacing w:after="40"/>
            </w:pPr>
            <w:r>
              <w:rPr>
                <w:sz w:val="18"/>
              </w:rPr>
              <w:t>Batch inference</w:t>
            </w:r>
          </w:p>
        </w:tc>
        <w:tc>
          <w:tcPr>
            <w:tcW w:type="dxa" w:w="3331"/>
            <w:vAlign w:val="center"/>
          </w:tcPr>
          <w:p>
            <w:pPr>
              <w:spacing w:after="40"/>
            </w:pPr>
            <w:r>
              <w:rPr>
                <w:sz w:val="18"/>
              </w:rPr>
              <w:t>Per-record Yes/No prediction and churn probability</w:t>
            </w:r>
          </w:p>
        </w:tc>
      </w:tr>
      <w:tr>
        <w:tc>
          <w:tcPr>
            <w:tcW w:type="dxa" w:w="3331"/>
            <w:vAlign w:val="center"/>
          </w:tcPr>
          <w:p>
            <w:pPr>
              <w:spacing w:after="40"/>
            </w:pPr>
            <w:r>
              <w:rPr>
                <w:sz w:val="18"/>
              </w:rPr>
              <w:t>GET /docs</w:t>
            </w:r>
          </w:p>
        </w:tc>
        <w:tc>
          <w:tcPr>
            <w:tcW w:type="dxa" w:w="3331"/>
            <w:vAlign w:val="center"/>
          </w:tcPr>
          <w:p>
            <w:pPr>
              <w:spacing w:after="40"/>
            </w:pPr>
            <w:r>
              <w:rPr>
                <w:sz w:val="18"/>
              </w:rPr>
              <w:t>Interactive OpenAPI UI</w:t>
            </w:r>
          </w:p>
        </w:tc>
        <w:tc>
          <w:tcPr>
            <w:tcW w:type="dxa" w:w="3331"/>
            <w:vAlign w:val="center"/>
          </w:tcPr>
          <w:p>
            <w:pPr>
              <w:spacing w:after="40"/>
            </w:pPr>
            <w:r>
              <w:rPr>
                <w:sz w:val="18"/>
              </w:rPr>
              <w:t>Try requests in a browser</w:t>
            </w:r>
          </w:p>
        </w:tc>
      </w:tr>
    </w:tbl>
    <w:p>
      <w:pPr>
        <w:spacing w:after="20"/>
      </w:pPr>
    </w:p>
    <w:p>
      <w:pPr>
        <w:pStyle w:val="Heading2"/>
      </w:pPr>
      <w:r>
        <w:t>Example request</w:t>
      </w:r>
    </w:p>
    <w:p>
      <w:pPr>
        <w:spacing w:before="80" w:after="160"/>
        <w:ind w:left="360" w:right="360"/>
      </w:pPr>
      <w:r>
        <w:rPr>
          <w:rFonts w:ascii="Consolas" w:hAnsi="Consolas"/>
          <w:color w:val="17324D"/>
          <w:sz w:val="17"/>
        </w:rPr>
        <w:t>{</w:t>
        <w:br/>
        <w:t xml:space="preserve">  "instances": [{</w:t>
        <w:br/>
        <w:t xml:space="preserve">    "customer_id": "demo-001",</w:t>
        <w:br/>
        <w:t xml:space="preserve">    "tenure_months": 4, "monthly_charges": 105.0,</w:t>
        <w:br/>
        <w:t xml:space="preserve">    "support_tickets": 4, "contract": "Month-to-month",</w:t>
        <w:br/>
        <w:t xml:space="preserve">    "internet_service": "Fiber optic",</w:t>
        <w:br/>
        <w:t xml:space="preserve">    "payment_method": "Electronic check"</w:t>
        <w:br/>
        <w:t xml:space="preserve">  }]</w:t>
        <w:br/>
        <w:t>}</w:t>
      </w:r>
    </w:p>
    <w:p>
      <w:pPr>
        <w:pStyle w:val="Heading1"/>
      </w:pPr>
      <w:r>
        <w:t>Run and verify</w:t>
      </w:r>
    </w:p>
    <w:p>
      <w:pPr>
        <w:pStyle w:val="ListBullet"/>
        <w:spacing w:after="60"/>
      </w:pPr>
      <w:r>
        <w:t>Install: python -m pip install -e '.[dev]'</w:t>
      </w:r>
    </w:p>
    <w:p>
      <w:pPr>
        <w:pStyle w:val="ListBullet"/>
        <w:spacing w:after="60"/>
      </w:pPr>
      <w:r>
        <w:t>Train/refresh the artifact: python -m yuva_ml.train</w:t>
      </w:r>
    </w:p>
    <w:p>
      <w:pPr>
        <w:pStyle w:val="ListBullet"/>
        <w:spacing w:after="60"/>
      </w:pPr>
      <w:r>
        <w:t>Start locally: uvicorn yuva_ml.api:app --app-dir src --host 0.0.0.0 --port 8000</w:t>
      </w:r>
    </w:p>
    <w:p>
      <w:pPr>
        <w:pStyle w:val="ListBullet"/>
        <w:spacing w:after="60"/>
      </w:pPr>
      <w:r>
        <w:t>Open http://127.0.0.1:8000/docs or send POST /predict; tests cover health, missing fields, batch predictions, and empty-batch validation.</w:t>
      </w:r>
    </w:p>
    <w:p>
      <w:pPr>
        <w:pStyle w:val="ListBullet"/>
        <w:spacing w:after="60"/>
      </w:pPr>
      <w:r>
        <w:t>Artifact metadata: artifacts/churn_model.joblib; 1,800 training records; tuned C=0.1.</w:t>
      </w:r>
    </w:p>
    <w:p>
      <w:pPr>
        <w:pStyle w:val="Heading1"/>
      </w:pPr>
      <w:r>
        <w:t>Limitations and next steps</w:t>
      </w:r>
    </w:p>
    <w:p>
      <w:r>
        <w:t>This is a local educational service, not a cloud-hosted or production-ready application. The synthetic data cannot validate real churn behavior. Before business use, obtain representative consented data, assess data quality and subgroup performance, agree on a cost-sensitive threshold, add authentication and rate limits, monitor drift and service health, and version the model and dependencies. Joblib artifacts should only be loaded from trusted sources. The accompanying PowerPoint is reports/Capstone_Presentation.pptx.</w:t>
      </w:r>
    </w:p>
    <w:p>
      <w:pPr>
        <w:pStyle w:val="Heading1"/>
      </w:pPr>
      <w:r>
        <w:t>Submission description (216 words)</w:t>
      </w:r>
    </w:p>
    <w:p>
      <w:r>
        <w:t>This Week 4 report documents the capstone as a complete local machine-learning application rather than only a fitted estimator. A Logistic Regression model is trained using the regularization setting selected by the Week 3 cross-validation exercise, then serialized with Joblib as a single scikit-learn pipeline. The saved artifact contains the numeric median imputer, missingness indicators, categorical most-frequent imputer, standard scaler, one-hot encoder, and classifier, so API callers submit raw customer fields rather than manually transformed vectors. A FastAPI service exposes a health route, interactive Swagger documentation, and a batch prediction route with input validation, missing-field support, unknown-category tolerance, predicted churn labels, and probabilities. The report describes the request/response contract, local startup command, test coverage, model metadata, and a worked example. A separate PowerPoint presentation summarizes the data, model results, clustering, and deployment design. The final fitted model uses all available rows only after the held-out evaluation results have been recorded; the test set was not used to choose its tuning parameter. The implementation is reproducible from the documented commands and includes automated checks for preprocessing and API behavior. This is a local educational deployment, not a claim of cloud hosting or production readiness. The dataset and learned relationships are synthetic; real use would require representative data, privacy controls, authentication, monitoring, threshold review, and model-version management.</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Educational capstone • Synthetic customer-churn data • Local reproducible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37A7A"/>
        <w:sz w:val="16"/>
      </w:rPr>
      <w:t>YUVA INTERNSHIP  |  PYTHON &amp;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934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7A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