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37A7A"/>
          <w:sz w:val="22"/>
        </w:rPr>
        <w:t>YUVA INTERNSHIP PROGRAMME</w:t>
      </w:r>
    </w:p>
    <w:p>
      <w:pPr>
        <w:spacing w:after="400"/>
        <w:jc w:val="center"/>
      </w:pPr>
      <w:r>
        <w:rPr>
          <w:color w:val="7A8794"/>
          <w:sz w:val="18"/>
        </w:rPr>
        <w:t>WEEK 3  ·  DELIVERABLE REPORT</w:t>
      </w:r>
    </w:p>
    <w:p>
      <w:pPr>
        <w:spacing w:after="160"/>
        <w:jc w:val="center"/>
      </w:pPr>
      <w:r>
        <w:rPr>
          <w:rFonts w:ascii="Calibri Light" w:hAnsi="Calibri Light"/>
          <w:b/>
          <w:color w:val="17324D"/>
          <w:sz w:val="60"/>
        </w:rPr>
        <w:t>Unsupervised Learning</w:t>
        <w:br/>
        <w:t>&amp; Model Evaluation</w:t>
      </w:r>
    </w:p>
    <w:p>
      <w:pPr>
        <w:spacing w:after="520"/>
        <w:jc w:val="center"/>
      </w:pPr>
      <w:r>
        <w:rPr>
          <w:i/>
          <w:color w:val="237A7A"/>
          <w:sz w:val="24"/>
        </w:rPr>
        <w:t>Clustering with K-Means and hierarchical methods, dimensionality reduction with PCA, and a full evaluation of a tuned classifier</w:t>
      </w:r>
    </w:p>
    <w:p>
      <w:pPr>
        <w:spacing w:after="520"/>
        <w:ind w:left="3168" w:right="3168"/>
        <w:jc w:val="center"/>
        <w:pBdr>
          <w:bottom w:val="single" w:sz="12" w:space="1" w:color="C4664D"/>
        </w:pBdr>
      </w:pPr>
    </w:p>
    <w:tbl>
      <w:tblPr>
        <w:tblW w:type="auto" w:w="0"/>
        <w:jc w:val="center"/>
        <w:tblLayout w:type="fixed"/>
        <w:tblLook w:firstColumn="1" w:firstRow="1" w:lastColumn="0" w:lastRow="0" w:noHBand="0" w:noVBand="1" w:val="04A0"/>
      </w:tblPr>
      <w:tblGrid>
        <w:gridCol w:w="4882"/>
        <w:gridCol w:w="4882"/>
      </w:tblGrid>
      <w:tr>
        <w:tc>
          <w:tcPr>
            <w:tcW w:type="dxa" w:w="2088"/>
          </w:tcPr>
          <w:p>
            <w:pPr>
              <w:spacing w:after="60"/>
            </w:pPr>
            <w:r/>
            <w:r>
              <w:rPr>
                <w:b/>
                <w:color w:val="7A8794"/>
                <w:sz w:val="15"/>
              </w:rPr>
              <w:t>SUBMITTED BY</w:t>
            </w:r>
          </w:p>
        </w:tc>
        <w:tc>
          <w:tcPr>
            <w:tcW w:type="dxa" w:w="6984"/>
          </w:tcPr>
          <w:p>
            <w:pPr>
              <w:spacing w:after="60"/>
            </w:pPr>
            <w:r/>
            <w:r>
              <w:rPr>
                <w:color w:val="17324D"/>
                <w:sz w:val="18"/>
              </w:rPr>
              <w:t>Peram Dhanam Srinivas</w:t>
            </w:r>
          </w:p>
        </w:tc>
      </w:tr>
      <w:tr>
        <w:tc>
          <w:tcPr>
            <w:tcW w:type="dxa" w:w="2088"/>
          </w:tcPr>
          <w:p>
            <w:pPr>
              <w:spacing w:after="60"/>
            </w:pPr>
            <w:r/>
            <w:r>
              <w:rPr>
                <w:b/>
                <w:color w:val="7A8794"/>
                <w:sz w:val="15"/>
              </w:rPr>
              <w:t>PROGRAMME</w:t>
            </w:r>
          </w:p>
        </w:tc>
        <w:tc>
          <w:tcPr>
            <w:tcW w:type="dxa" w:w="6984"/>
          </w:tcPr>
          <w:p>
            <w:pPr>
              <w:spacing w:after="60"/>
            </w:pPr>
            <w:r/>
            <w:r>
              <w:rPr>
                <w:color w:val="17324D"/>
                <w:sz w:val="18"/>
              </w:rPr>
              <w:t>Yuva Internship Program</w:t>
            </w:r>
          </w:p>
        </w:tc>
      </w:tr>
      <w:tr>
        <w:tc>
          <w:tcPr>
            <w:tcW w:type="dxa" w:w="2088"/>
          </w:tcPr>
          <w:p>
            <w:pPr>
              <w:spacing w:after="60"/>
            </w:pPr>
            <w:r/>
            <w:r>
              <w:rPr>
                <w:b/>
                <w:color w:val="7A8794"/>
                <w:sz w:val="15"/>
              </w:rPr>
              <w:t>WEEK</w:t>
            </w:r>
          </w:p>
        </w:tc>
        <w:tc>
          <w:tcPr>
            <w:tcW w:type="dxa" w:w="6984"/>
          </w:tcPr>
          <w:p>
            <w:pPr>
              <w:spacing w:after="60"/>
            </w:pPr>
            <w:r/>
            <w:r>
              <w:rPr>
                <w:color w:val="17324D"/>
                <w:sz w:val="18"/>
              </w:rPr>
              <w:t>3 of 4 — Unsupervised learning and model evaluation</w:t>
            </w:r>
          </w:p>
        </w:tc>
      </w:tr>
      <w:tr>
        <w:tc>
          <w:tcPr>
            <w:tcW w:type="dxa" w:w="2088"/>
          </w:tcPr>
          <w:p>
            <w:pPr>
              <w:spacing w:after="60"/>
            </w:pPr>
            <w:r/>
            <w:r>
              <w:rPr>
                <w:b/>
                <w:color w:val="7A8794"/>
                <w:sz w:val="15"/>
              </w:rPr>
              <w:t>DELIVERABLE</w:t>
            </w:r>
          </w:p>
        </w:tc>
        <w:tc>
          <w:tcPr>
            <w:tcW w:type="dxa" w:w="6984"/>
          </w:tcPr>
          <w:p>
            <w:pPr>
              <w:spacing w:after="60"/>
            </w:pPr>
            <w:r/>
            <w:r>
              <w:rPr>
                <w:color w:val="17324D"/>
                <w:sz w:val="18"/>
              </w:rPr>
              <w:t>Perform clustering on a dataset and prepare a model evaluation report</w:t>
            </w:r>
          </w:p>
        </w:tc>
      </w:tr>
      <w:tr>
        <w:tc>
          <w:tcPr>
            <w:tcW w:type="dxa" w:w="2088"/>
          </w:tcPr>
          <w:p>
            <w:pPr>
              <w:spacing w:after="60"/>
            </w:pPr>
            <w:r/>
            <w:r>
              <w:rPr>
                <w:b/>
                <w:color w:val="7A8794"/>
                <w:sz w:val="15"/>
              </w:rPr>
              <w:t>PART A</w:t>
            </w:r>
          </w:p>
        </w:tc>
        <w:tc>
          <w:tcPr>
            <w:tcW w:type="dxa" w:w="6984"/>
          </w:tcPr>
          <w:p>
            <w:pPr>
              <w:spacing w:after="60"/>
            </w:pPr>
            <w:r/>
            <w:r>
              <w:rPr>
                <w:color w:val="17324D"/>
                <w:sz w:val="18"/>
              </w:rPr>
              <w:t>K-Means · Agglomerative clustering (ward, complete, average, single) · PCA</w:t>
            </w:r>
          </w:p>
        </w:tc>
      </w:tr>
      <w:tr>
        <w:tc>
          <w:tcPr>
            <w:tcW w:type="dxa" w:w="2088"/>
          </w:tcPr>
          <w:p>
            <w:pPr>
              <w:spacing w:after="60"/>
            </w:pPr>
            <w:r/>
            <w:r>
              <w:rPr>
                <w:b/>
                <w:color w:val="7A8794"/>
                <w:sz w:val="15"/>
              </w:rPr>
              <w:t>PART B</w:t>
            </w:r>
          </w:p>
        </w:tc>
        <w:tc>
          <w:tcPr>
            <w:tcW w:type="dxa" w:w="6984"/>
          </w:tcPr>
          <w:p>
            <w:pPr>
              <w:spacing w:after="60"/>
            </w:pPr>
            <w:r/>
            <w:r>
              <w:rPr>
                <w:color w:val="17324D"/>
                <w:sz w:val="18"/>
              </w:rPr>
              <w:t>Confusion matrix · precision · recall · F1 · ROC-AUC · cross-validation · GridSearchCV</w:t>
            </w:r>
          </w:p>
        </w:tc>
      </w:tr>
      <w:tr>
        <w:tc>
          <w:tcPr>
            <w:tcW w:type="dxa" w:w="2088"/>
          </w:tcPr>
          <w:p>
            <w:pPr>
              <w:spacing w:after="60"/>
            </w:pPr>
            <w:r/>
            <w:r>
              <w:rPr>
                <w:b/>
                <w:color w:val="7A8794"/>
                <w:sz w:val="15"/>
              </w:rPr>
              <w:t>DATASET</w:t>
            </w:r>
          </w:p>
        </w:tc>
        <w:tc>
          <w:tcPr>
            <w:tcW w:type="dxa" w:w="6984"/>
          </w:tcPr>
          <w:p>
            <w:pPr>
              <w:spacing w:after="60"/>
            </w:pPr>
            <w:r/>
            <w:r>
              <w:rPr>
                <w:color w:val="17324D"/>
                <w:sz w:val="18"/>
              </w:rPr>
              <w:t>customer_churn_raw.csv — 1,800 synthetic customer records</w:t>
            </w:r>
          </w:p>
        </w:tc>
      </w:tr>
      <w:tr>
        <w:tc>
          <w:tcPr>
            <w:tcW w:type="dxa" w:w="2088"/>
          </w:tcPr>
          <w:p>
            <w:pPr>
              <w:spacing w:after="60"/>
            </w:pPr>
            <w:r/>
            <w:r>
              <w:rPr>
                <w:b/>
                <w:color w:val="7A8794"/>
                <w:sz w:val="15"/>
              </w:rPr>
              <w:t>TOOLS</w:t>
            </w:r>
          </w:p>
        </w:tc>
        <w:tc>
          <w:tcPr>
            <w:tcW w:type="dxa" w:w="6984"/>
          </w:tcPr>
          <w:p>
            <w:pPr>
              <w:spacing w:after="60"/>
            </w:pPr>
            <w:r/>
            <w:r>
              <w:rPr>
                <w:color w:val="17324D"/>
                <w:sz w:val="18"/>
              </w:rPr>
              <w:t>Python 3.11 · scikit-learn · SciPy · NumPy · Pandas · Matplotlib</w:t>
            </w:r>
          </w:p>
        </w:tc>
      </w:tr>
      <w:tr>
        <w:tc>
          <w:tcPr>
            <w:tcW w:type="dxa" w:w="2088"/>
          </w:tcPr>
          <w:p>
            <w:pPr>
              <w:spacing w:after="60"/>
            </w:pPr>
            <w:r/>
            <w:r>
              <w:rPr>
                <w:b/>
                <w:color w:val="7A8794"/>
                <w:sz w:val="15"/>
              </w:rPr>
              <w:t>REPOSITORY</w:t>
            </w:r>
          </w:p>
        </w:tc>
        <w:tc>
          <w:tcPr>
            <w:tcW w:type="dxa" w:w="6984"/>
          </w:tcPr>
          <w:p>
            <w:pPr>
              <w:spacing w:after="60"/>
            </w:pPr>
            <w:r/>
            <w:r>
              <w:rPr>
                <w:color w:val="237A7A"/>
                <w:sz w:val="16"/>
              </w:rPr>
              <w:t>https://github.com/Dhanam33/Yuva_intern/tree/main/week-3</w:t>
            </w:r>
          </w:p>
        </w:tc>
      </w:tr>
      <w:tr>
        <w:tc>
          <w:tcPr>
            <w:tcW w:type="dxa" w:w="2088"/>
          </w:tcPr>
          <w:p>
            <w:pPr>
              <w:spacing w:after="60"/>
            </w:pPr>
            <w:r/>
            <w:r>
              <w:rPr>
                <w:b/>
                <w:color w:val="7A8794"/>
                <w:sz w:val="15"/>
              </w:rPr>
              <w:t>DATE</w:t>
            </w:r>
          </w:p>
        </w:tc>
        <w:tc>
          <w:tcPr>
            <w:tcW w:type="dxa" w:w="6984"/>
          </w:tcPr>
          <w:p>
            <w:pPr>
              <w:spacing w:after="60"/>
            </w:pPr>
            <w:r/>
            <w:r>
              <w:rPr>
                <w:color w:val="17324D"/>
                <w:sz w:val="18"/>
              </w:rPr>
              <w:t>20 October 2026</w:t>
            </w:r>
          </w:p>
        </w:tc>
      </w:tr>
    </w:tbl>
    <w:p/>
    <w:p>
      <w:pPr>
        <w:spacing w:before="360"/>
        <w:jc w:val="center"/>
      </w:pPr>
      <w:r>
        <w:rPr>
          <w:i/>
          <w:color w:val="7A8794"/>
          <w:sz w:val="16"/>
        </w:rPr>
        <w:t>All results are reproducible from the repository using a fixed random seed of 42. The dataset is synthetic teaching data and does not describe real customers.</w:t>
      </w:r>
    </w:p>
    <w:p>
      <w:pPr>
        <w:spacing w:after="0"/>
      </w:pPr>
      <w:r>
        <w:br w:type="page"/>
      </w:r>
    </w:p>
    <w:p>
      <w:pPr>
        <w:pStyle w:val="Heading1"/>
      </w:pPr>
      <w:r>
        <w:t>1. Executive summary</w:t>
      </w:r>
    </w:p>
    <w:p>
      <w:r>
        <w:rPr>
          <w:i w:val="0"/>
        </w:rPr>
        <w:t>This report covers both halves of the Week 3 brief. Part A clusters the customer dataset without using the churn label and asks afterwards whether the clusters mean anything. Part B takes the churn label seriously and asks how well a classifier can predict it, using the evaluation metrics and tuning procedures the brief names.</w:t>
      </w:r>
    </w:p>
    <w:p>
      <w:r>
        <w:rPr>
          <w:i w:val="0"/>
        </w:rPr>
        <w:t>The dataset holds 1,800 synthetic customer records encoded into 21 numeric columns. Four clustering configurations are compared — K-Means over k = 2 to 8, and agglomerative clustering under ward, complete, average and single linkage — alongside principal component analysis as a dimensionality-reduction step. On the supervised side, 37 hyperparameter combinations are searched with GridSearchCV, and nested cross-validation checks the tuned score against an unbiased estimate.</w:t>
      </w: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val="true"/>
        </w:trPr>
        <w:tc>
          <w:tcPr>
            <w:tcW w:type="dxa" w:w="3816"/>
            <w:vAlign w:val="center"/>
            <w:shd w:fill="17324D"/>
          </w:tcPr>
          <w:p>
            <w:pPr>
              <w:spacing w:after="40" w:before="40"/>
            </w:pPr>
            <w:r/>
            <w:r>
              <w:rPr>
                <w:b/>
                <w:color w:val="FFFFFF"/>
                <w:sz w:val="17"/>
              </w:rPr>
              <w:t>Measure</w:t>
            </w:r>
          </w:p>
        </w:tc>
        <w:tc>
          <w:tcPr>
            <w:tcW w:type="dxa" w:w="5544"/>
            <w:vAlign w:val="center"/>
            <w:shd w:fill="17324D"/>
          </w:tcPr>
          <w:p>
            <w:pPr>
              <w:spacing w:after="40" w:before="40"/>
            </w:pPr>
            <w:r/>
            <w:r>
              <w:rPr>
                <w:b/>
                <w:color w:val="FFFFFF"/>
                <w:sz w:val="17"/>
              </w:rPr>
              <w:t>Result</w:t>
            </w:r>
          </w:p>
        </w:tc>
      </w:tr>
      <w:tr>
        <w:trPr>
          <w:cantSplit w:val="true"/>
        </w:trPr>
        <w:tc>
          <w:tcPr>
            <w:tcW w:type="dxa" w:w="3816"/>
            <w:vAlign w:val="center"/>
          </w:tcPr>
          <w:p>
            <w:pPr>
              <w:spacing w:after="40" w:before="40"/>
            </w:pPr>
            <w:r/>
            <w:r>
              <w:rPr>
                <w:sz w:val="17"/>
              </w:rPr>
              <w:t>Records / encoded features</w:t>
            </w:r>
          </w:p>
        </w:tc>
        <w:tc>
          <w:tcPr>
            <w:tcW w:type="dxa" w:w="5544"/>
            <w:vAlign w:val="center"/>
          </w:tcPr>
          <w:p>
            <w:pPr>
              <w:spacing w:after="40" w:before="40"/>
              <w:jc w:val="right"/>
            </w:pPr>
            <w:r/>
            <w:r>
              <w:rPr>
                <w:sz w:val="17"/>
              </w:rPr>
              <w:t>1,800 / 21</w:t>
            </w:r>
          </w:p>
        </w:tc>
      </w:tr>
      <w:tr>
        <w:trPr>
          <w:cantSplit w:val="true"/>
        </w:trPr>
        <w:tc>
          <w:tcPr>
            <w:tcW w:type="dxa" w:w="3816"/>
            <w:vAlign w:val="center"/>
            <w:shd w:fill="F1F5F9"/>
          </w:tcPr>
          <w:p>
            <w:pPr>
              <w:spacing w:after="40" w:before="40"/>
            </w:pPr>
            <w:r/>
            <w:r>
              <w:rPr>
                <w:sz w:val="17"/>
              </w:rPr>
              <w:t>Churn rate</w:t>
            </w:r>
          </w:p>
        </w:tc>
        <w:tc>
          <w:tcPr>
            <w:tcW w:type="dxa" w:w="5544"/>
            <w:vAlign w:val="center"/>
            <w:shd w:fill="F1F5F9"/>
          </w:tcPr>
          <w:p>
            <w:pPr>
              <w:spacing w:after="40" w:before="40"/>
              <w:jc w:val="right"/>
            </w:pPr>
            <w:r/>
            <w:r>
              <w:rPr>
                <w:sz w:val="17"/>
              </w:rPr>
              <w:t>26.7%  (480 of 1,800)</w:t>
            </w:r>
          </w:p>
        </w:tc>
      </w:tr>
      <w:tr>
        <w:trPr>
          <w:cantSplit w:val="true"/>
        </w:trPr>
        <w:tc>
          <w:tcPr>
            <w:tcW w:type="dxa" w:w="3816"/>
            <w:vAlign w:val="center"/>
          </w:tcPr>
          <w:p>
            <w:pPr>
              <w:spacing w:after="40" w:before="40"/>
            </w:pPr>
            <w:r/>
            <w:r>
              <w:rPr>
                <w:sz w:val="17"/>
              </w:rPr>
              <w:t>Components for 90% of variance</w:t>
            </w:r>
          </w:p>
        </w:tc>
        <w:tc>
          <w:tcPr>
            <w:tcW w:type="dxa" w:w="5544"/>
            <w:vAlign w:val="center"/>
          </w:tcPr>
          <w:p>
            <w:pPr>
              <w:spacing w:after="40" w:before="40"/>
              <w:jc w:val="right"/>
            </w:pPr>
            <w:r/>
            <w:r>
              <w:rPr>
                <w:sz w:val="17"/>
              </w:rPr>
              <w:t>10 (from 21)</w:t>
            </w:r>
          </w:p>
        </w:tc>
      </w:tr>
      <w:tr>
        <w:trPr>
          <w:cantSplit w:val="true"/>
        </w:trPr>
        <w:tc>
          <w:tcPr>
            <w:tcW w:type="dxa" w:w="3816"/>
            <w:vAlign w:val="center"/>
            <w:shd w:fill="F1F5F9"/>
          </w:tcPr>
          <w:p>
            <w:pPr>
              <w:spacing w:after="40" w:before="40"/>
            </w:pPr>
            <w:r/>
            <w:r>
              <w:rPr>
                <w:sz w:val="17"/>
              </w:rPr>
              <w:t>Clusters chosen</w:t>
            </w:r>
          </w:p>
        </w:tc>
        <w:tc>
          <w:tcPr>
            <w:tcW w:type="dxa" w:w="5544"/>
            <w:vAlign w:val="center"/>
            <w:shd w:fill="F1F5F9"/>
          </w:tcPr>
          <w:p>
            <w:pPr>
              <w:spacing w:after="40" w:before="40"/>
              <w:jc w:val="right"/>
            </w:pPr>
            <w:r/>
            <w:r>
              <w:rPr>
                <w:sz w:val="17"/>
              </w:rPr>
              <w:t>k = 3 by K-Means and Ward alike</w:t>
            </w:r>
          </w:p>
        </w:tc>
      </w:tr>
      <w:tr>
        <w:trPr>
          <w:cantSplit w:val="true"/>
        </w:trPr>
        <w:tc>
          <w:tcPr>
            <w:tcW w:type="dxa" w:w="3816"/>
            <w:vAlign w:val="center"/>
          </w:tcPr>
          <w:p>
            <w:pPr>
              <w:spacing w:after="40" w:before="40"/>
            </w:pPr>
            <w:r/>
            <w:r>
              <w:rPr>
                <w:sz w:val="17"/>
              </w:rPr>
              <w:t>Best K-Means silhouette</w:t>
            </w:r>
          </w:p>
        </w:tc>
        <w:tc>
          <w:tcPr>
            <w:tcW w:type="dxa" w:w="5544"/>
            <w:vAlign w:val="center"/>
          </w:tcPr>
          <w:p>
            <w:pPr>
              <w:spacing w:after="40" w:before="40"/>
              <w:jc w:val="right"/>
            </w:pPr>
            <w:r/>
            <w:r>
              <w:rPr>
                <w:sz w:val="17"/>
              </w:rPr>
              <w:t>0.162  (weak — below 0.25)</w:t>
            </w:r>
          </w:p>
        </w:tc>
      </w:tr>
      <w:tr>
        <w:trPr>
          <w:cantSplit w:val="true"/>
        </w:trPr>
        <w:tc>
          <w:tcPr>
            <w:tcW w:type="dxa" w:w="3816"/>
            <w:vAlign w:val="center"/>
            <w:shd w:fill="F1F5F9"/>
          </w:tcPr>
          <w:p>
            <w:pPr>
              <w:spacing w:after="40" w:before="40"/>
            </w:pPr>
            <w:r/>
            <w:r>
              <w:rPr>
                <w:sz w:val="17"/>
              </w:rPr>
              <w:t>K-Means vs Ward agreement</w:t>
            </w:r>
          </w:p>
        </w:tc>
        <w:tc>
          <w:tcPr>
            <w:tcW w:type="dxa" w:w="5544"/>
            <w:vAlign w:val="center"/>
            <w:shd w:fill="F1F5F9"/>
          </w:tcPr>
          <w:p>
            <w:pPr>
              <w:spacing w:after="40" w:before="40"/>
              <w:jc w:val="right"/>
            </w:pPr>
            <w:r/>
            <w:r>
              <w:rPr>
                <w:sz w:val="17"/>
              </w:rPr>
              <w:t>ARI 0.732</w:t>
            </w:r>
          </w:p>
        </w:tc>
      </w:tr>
      <w:tr>
        <w:trPr>
          <w:cantSplit w:val="true"/>
        </w:trPr>
        <w:tc>
          <w:tcPr>
            <w:tcW w:type="dxa" w:w="3816"/>
            <w:vAlign w:val="center"/>
          </w:tcPr>
          <w:p>
            <w:pPr>
              <w:spacing w:after="40" w:before="40"/>
            </w:pPr>
            <w:r/>
            <w:r>
              <w:rPr>
                <w:sz w:val="17"/>
              </w:rPr>
              <w:t>Clusters vs churn agreement</w:t>
            </w:r>
          </w:p>
        </w:tc>
        <w:tc>
          <w:tcPr>
            <w:tcW w:type="dxa" w:w="5544"/>
            <w:vAlign w:val="center"/>
          </w:tcPr>
          <w:p>
            <w:pPr>
              <w:spacing w:after="40" w:before="40"/>
              <w:jc w:val="right"/>
            </w:pPr>
            <w:r/>
            <w:r>
              <w:rPr>
                <w:sz w:val="17"/>
              </w:rPr>
              <w:t>ARI 0.015  (essentially unrelated)</w:t>
            </w:r>
          </w:p>
        </w:tc>
      </w:tr>
      <w:tr>
        <w:trPr>
          <w:cantSplit w:val="true"/>
        </w:trPr>
        <w:tc>
          <w:tcPr>
            <w:tcW w:type="dxa" w:w="3816"/>
            <w:vAlign w:val="center"/>
            <w:shd w:fill="F1F5F9"/>
          </w:tcPr>
          <w:p>
            <w:pPr>
              <w:spacing w:after="40" w:before="40"/>
            </w:pPr>
            <w:r/>
            <w:r>
              <w:rPr>
                <w:sz w:val="17"/>
              </w:rPr>
              <w:t>Churn spread across clusters</w:t>
            </w:r>
          </w:p>
        </w:tc>
        <w:tc>
          <w:tcPr>
            <w:tcW w:type="dxa" w:w="5544"/>
            <w:vAlign w:val="center"/>
            <w:shd w:fill="F1F5F9"/>
          </w:tcPr>
          <w:p>
            <w:pPr>
              <w:spacing w:after="40" w:before="40"/>
              <w:jc w:val="right"/>
            </w:pPr>
            <w:r/>
            <w:r>
              <w:rPr>
                <w:sz w:val="17"/>
              </w:rPr>
              <w:t>9.0%  (from 21.8% to 30.8%)</w:t>
            </w:r>
          </w:p>
        </w:tc>
      </w:tr>
      <w:tr>
        <w:trPr>
          <w:cantSplit w:val="true"/>
        </w:trPr>
        <w:tc>
          <w:tcPr>
            <w:tcW w:type="dxa" w:w="3816"/>
            <w:vAlign w:val="center"/>
          </w:tcPr>
          <w:p>
            <w:pPr>
              <w:spacing w:after="40" w:before="40"/>
            </w:pPr>
            <w:r/>
            <w:r>
              <w:rPr>
                <w:sz w:val="17"/>
              </w:rPr>
              <w:t>Silhouette gained by projecting to 2-D</w:t>
            </w:r>
          </w:p>
        </w:tc>
        <w:tc>
          <w:tcPr>
            <w:tcW w:type="dxa" w:w="5544"/>
            <w:vAlign w:val="center"/>
          </w:tcPr>
          <w:p>
            <w:pPr>
              <w:spacing w:after="40" w:before="40"/>
              <w:jc w:val="right"/>
            </w:pPr>
            <w:r/>
            <w:r>
              <w:rPr>
                <w:sz w:val="17"/>
              </w:rPr>
              <w:t>0.135 → 0.389  (illusory)</w:t>
            </w:r>
          </w:p>
        </w:tc>
      </w:tr>
      <w:tr>
        <w:trPr>
          <w:cantSplit w:val="true"/>
        </w:trPr>
        <w:tc>
          <w:tcPr>
            <w:tcW w:type="dxa" w:w="3816"/>
            <w:vAlign w:val="center"/>
            <w:shd w:fill="F1F5F9"/>
          </w:tcPr>
          <w:p>
            <w:pPr>
              <w:spacing w:after="40" w:before="40"/>
            </w:pPr>
            <w:r/>
            <w:r>
              <w:rPr>
                <w:sz w:val="17"/>
              </w:rPr>
              <w:t>Selected classifier</w:t>
            </w:r>
          </w:p>
        </w:tc>
        <w:tc>
          <w:tcPr>
            <w:tcW w:type="dxa" w:w="5544"/>
            <w:vAlign w:val="center"/>
            <w:shd w:fill="F1F5F9"/>
          </w:tcPr>
          <w:p>
            <w:pPr>
              <w:spacing w:after="40" w:before="40"/>
              <w:jc w:val="right"/>
            </w:pPr>
            <w:r/>
            <w:r>
              <w:rPr>
                <w:sz w:val="17"/>
              </w:rPr>
              <w:t>Logistic Regression  (CV ROC-AUC 0.806)</w:t>
            </w:r>
          </w:p>
        </w:tc>
      </w:tr>
      <w:tr>
        <w:trPr>
          <w:cantSplit w:val="true"/>
        </w:trPr>
        <w:tc>
          <w:tcPr>
            <w:tcW w:type="dxa" w:w="3816"/>
            <w:vAlign w:val="center"/>
          </w:tcPr>
          <w:p>
            <w:pPr>
              <w:spacing w:after="40" w:before="40"/>
            </w:pPr>
            <w:r/>
            <w:r>
              <w:rPr>
                <w:sz w:val="17"/>
              </w:rPr>
              <w:t>Held-out test ROC-AUC</w:t>
            </w:r>
          </w:p>
        </w:tc>
        <w:tc>
          <w:tcPr>
            <w:tcW w:type="dxa" w:w="5544"/>
            <w:vAlign w:val="center"/>
          </w:tcPr>
          <w:p>
            <w:pPr>
              <w:spacing w:after="40" w:before="40"/>
              <w:jc w:val="right"/>
            </w:pPr>
            <w:r/>
            <w:r>
              <w:rPr>
                <w:sz w:val="17"/>
              </w:rPr>
              <w:t>0.768</w:t>
            </w:r>
          </w:p>
        </w:tc>
      </w:tr>
      <w:tr>
        <w:trPr>
          <w:cantSplit w:val="true"/>
        </w:trPr>
        <w:tc>
          <w:tcPr>
            <w:tcW w:type="dxa" w:w="3816"/>
            <w:vAlign w:val="center"/>
            <w:shd w:fill="F1F5F9"/>
          </w:tcPr>
          <w:p>
            <w:pPr>
              <w:spacing w:after="40" w:before="40"/>
            </w:pPr>
            <w:r/>
            <w:r>
              <w:rPr>
                <w:sz w:val="17"/>
              </w:rPr>
              <w:t>Held-out test recall / precision</w:t>
            </w:r>
          </w:p>
        </w:tc>
        <w:tc>
          <w:tcPr>
            <w:tcW w:type="dxa" w:w="5544"/>
            <w:vAlign w:val="center"/>
            <w:shd w:fill="F1F5F9"/>
          </w:tcPr>
          <w:p>
            <w:pPr>
              <w:spacing w:after="40" w:before="40"/>
              <w:jc w:val="right"/>
            </w:pPr>
            <w:r/>
            <w:r>
              <w:rPr>
                <w:sz w:val="17"/>
              </w:rPr>
              <w:t>0.656 / 0.432</w:t>
            </w:r>
          </w:p>
        </w:tc>
      </w:tr>
      <w:tr>
        <w:trPr>
          <w:cantSplit w:val="true"/>
        </w:trPr>
        <w:tc>
          <w:tcPr>
            <w:tcW w:type="dxa" w:w="3816"/>
            <w:vAlign w:val="center"/>
          </w:tcPr>
          <w:p>
            <w:pPr>
              <w:spacing w:after="40" w:before="40"/>
            </w:pPr>
            <w:r/>
            <w:r>
              <w:rPr>
                <w:sz w:val="17"/>
              </w:rPr>
              <w:t>Nested CV estimate</w:t>
            </w:r>
          </w:p>
        </w:tc>
        <w:tc>
          <w:tcPr>
            <w:tcW w:type="dxa" w:w="5544"/>
            <w:vAlign w:val="center"/>
          </w:tcPr>
          <w:p>
            <w:pPr>
              <w:spacing w:after="40" w:before="40"/>
              <w:jc w:val="right"/>
            </w:pPr>
            <w:r/>
            <w:r>
              <w:rPr>
                <w:sz w:val="17"/>
              </w:rPr>
              <w:t>0.805 ± 0.025  (optimism +0.001)</w:t>
            </w:r>
          </w:p>
        </w:tc>
      </w:tr>
    </w:tbl>
    <w:p>
      <w:pPr>
        <w:spacing w:after="40" w:before="0"/>
      </w:pP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jc w:val="left"/>
            </w:pPr>
            <w:r/>
            <w:r>
              <w:rPr>
                <w:b/>
                <w:color w:val="237A7A"/>
                <w:sz w:val="19"/>
              </w:rPr>
              <w:t>The headline finding</w:t>
            </w:r>
          </w:p>
          <w:p>
            <w:pPr>
              <w:spacing w:after="120"/>
              <w:jc w:val="left"/>
            </w:pPr>
            <w:r>
              <w:rPr>
                <w:sz w:val="18"/>
              </w:rPr>
              <w:t>Two different clustering algorithms independently recover almost the same three customer segments (ARI 0.732), which is strong evidence the segments are real. Those segments carry essentially no information about churn (ARI 0.015), and the churn rate varies by only 9.0% across them. Real structure and a useful predictor are not the same thing — which is precisely why the labelled evaluation in Part B is necessary.</w:t>
            </w:r>
          </w:p>
        </w:tc>
      </w:tr>
    </w:tbl>
    <w:p>
      <w:pPr>
        <w:spacing w:after="40"/>
      </w:pPr>
    </w:p>
    <w:p>
      <w:r>
        <w:rPr>
          <w:i w:val="0"/>
        </w:rPr>
        <w:t>Part A also documents two ways unsupervised output is commonly misread. Single linkage achieves the highest silhouette of any configuration (0.294) while producing a cluster containing 1 customer. And clustering in two dimensions appears to raise silhouette from 0.135 to 0.389 purely because the space the clusters are scored in got smaller. Both are demonstrated with numbers rather than described in the abstract.</w:t>
      </w:r>
    </w:p>
    <w:p>
      <w:r>
        <w:rPr>
          <w:i w:val="0"/>
        </w:rPr>
        <w:t>Part B is deliberately unflattering. A model that never predicts churn scores 0.733 accuracy, above the classifier's 0.678. Hyperparameter tuning improved Logistic Regression by 0.001 ROC-AUC across five values of C — there was no headroom to exploit. Nested cross-validation agreed with the tuned score to within 0.001, confirming the tuning was not overfitting. The reported value of the exercise is the discipline of these checks, not a headline number.</w:t>
      </w:r>
    </w:p>
    <w:p>
      <w:pPr>
        <w:pStyle w:val="Heading1"/>
      </w:pPr>
      <w:r>
        <w:t>2. Submission description</w:t>
      </w:r>
    </w:p>
    <w:p>
      <w:r>
        <w:rPr>
          <w:i w:val="0"/>
        </w:rPr>
        <w:t>The text below is the description submitted with this report. It is reproduced here so the report is self-contained. The word count is computed on generation and the build fails if it falls below the required minimum.</w:t>
      </w:r>
    </w:p>
    <w:p>
      <w:pPr>
        <w:spacing w:before="80"/>
        <w:ind w:left="317" w:right="317"/>
      </w:pPr>
      <w:r>
        <w:rPr>
          <w:sz w:val="19"/>
        </w:rPr>
        <w:t>This Week 3 report addresses both halves of the brief — unsupervised learning and model evaluation — using scikit-learn on the same reproducible synthetic customer-churn dataset of 1,800 records. Part A applies K-Means and agglomerative hierarchical clustering to a 21-column feature matrix, with principal component analysis used to examine dimensionality reduction. Cluster quality is judged using silhouette, Davies-Bouldin and Calinski-Harabasz indices, and the value of k is chosen only after demonstrating that the three disagree. Hierarchical clustering is compared across ward, complete, average and single linkage, which exposes a common trap: single linkage achieves the highest silhouette of any configuration while producing a one-customer cluster. Two independent algorithms recover almost the same three segments, with an adjusted Rand index of 0.732, which is evidence that the structure is real; yet neither relates to churn, where the index is 0.015 and the churn rate varies by only nine percentage points across segments. Part B builds a supervised classifier and evaluates it properly: the confusion matrix, precision, recall, F1 and ROC-AUC are computed from first principles, five-fold stratified cross-validation is used throughout, and GridSearchCV searches 37 hyperparameter combinations. Nested cross-validation separates the tuned score from an unbiased estimate. Results are reported without embellishment: tuning improved Logistic Regression by 0.001 ROC-AUC, nested cross-validation agreed to within 0.001, and the final held-out scores were 0.768 ROC-AUC with 0.656 recall.</w:t>
      </w:r>
    </w:p>
    <w:p>
      <w:pPr>
        <w:spacing w:before="40" w:after="200"/>
        <w:jc w:val="center"/>
      </w:pPr>
      <w:r>
        <w:rPr>
          <w:i/>
          <w:color w:val="7A8794"/>
          <w:sz w:val="16"/>
        </w:rPr>
        <w:t>Word count: 230 words (minimum 200).</w:t>
      </w:r>
    </w:p>
    <w:p>
      <w:pPr>
        <w:pStyle w:val="Heading1"/>
      </w:pPr>
      <w:r>
        <w:t>3. Introduction</w:t>
      </w:r>
    </w:p>
    <w:p>
      <w:r>
        <w:rPr>
          <w:i w:val="0"/>
        </w:rPr>
        <w:t>The Week 3 brief has three objectives, and they pull in different directions. The first is unsupervised: understand clustering and dimensionality reduction. The second is evaluative: understand confusion matrices, precision, recall, F1, ROC-AUC, cross-validation and hyperparameter tuning. The third asks for a clustering exercise and a model evaluation report as a single deliverable.</w:t>
      </w:r>
    </w:p>
    <w:p>
      <w:r>
        <w:rPr>
          <w:i w:val="0"/>
        </w:rPr>
        <w:t>The natural temptation is to treat these as two separate pieces of homework stapled together. This report instead uses the output of Part A to justify Part B. The clustering succeeds on its own terms — it finds stable, reproducible segments — but those segments cannot predict churn. That negative result is what makes the supervised evaluation necessary, and it sets up the central question of Part B: if a label matters, how do you measure how well you are predicting it?</w:t>
      </w:r>
    </w:p>
    <w:p>
      <w:pPr>
        <w:pStyle w:val="Heading2"/>
      </w:pPr>
      <w:r>
        <w:t>3.1 How each objective is addressed</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2477"/>
            <w:vAlign w:val="center"/>
            <w:shd w:fill="17324D"/>
          </w:tcPr>
          <w:p>
            <w:pPr>
              <w:spacing w:after="40" w:before="40"/>
            </w:pPr>
            <w:r/>
            <w:r>
              <w:rPr>
                <w:b/>
                <w:color w:val="FFFFFF"/>
                <w:sz w:val="17"/>
              </w:rPr>
              <w:t>Objective</w:t>
            </w:r>
          </w:p>
        </w:tc>
        <w:tc>
          <w:tcPr>
            <w:tcW w:type="dxa" w:w="1368"/>
            <w:vAlign w:val="center"/>
            <w:shd w:fill="17324D"/>
          </w:tcPr>
          <w:p>
            <w:pPr>
              <w:spacing w:after="40" w:before="40"/>
            </w:pPr>
            <w:r/>
            <w:r>
              <w:rPr>
                <w:b/>
                <w:color w:val="FFFFFF"/>
                <w:sz w:val="17"/>
              </w:rPr>
              <w:t>Where</w:t>
            </w:r>
          </w:p>
        </w:tc>
        <w:tc>
          <w:tcPr>
            <w:tcW w:type="dxa" w:w="5587"/>
            <w:vAlign w:val="center"/>
            <w:shd w:fill="17324D"/>
          </w:tcPr>
          <w:p>
            <w:pPr>
              <w:spacing w:after="40" w:before="40"/>
            </w:pPr>
            <w:r/>
            <w:r>
              <w:rPr>
                <w:b/>
                <w:color w:val="FFFFFF"/>
                <w:sz w:val="17"/>
              </w:rPr>
              <w:t>Evidence</w:t>
            </w:r>
          </w:p>
        </w:tc>
      </w:tr>
      <w:tr>
        <w:trPr>
          <w:cantSplit w:val="true"/>
        </w:trPr>
        <w:tc>
          <w:tcPr>
            <w:tcW w:type="dxa" w:w="2477"/>
            <w:vAlign w:val="center"/>
          </w:tcPr>
          <w:p>
            <w:pPr>
              <w:spacing w:after="40" w:before="40"/>
            </w:pPr>
            <w:r/>
            <w:r>
              <w:rPr>
                <w:sz w:val="17"/>
              </w:rPr>
              <w:t>K-Means clustering</w:t>
            </w:r>
          </w:p>
        </w:tc>
        <w:tc>
          <w:tcPr>
            <w:tcW w:type="dxa" w:w="1368"/>
            <w:vAlign w:val="center"/>
          </w:tcPr>
          <w:p>
            <w:pPr>
              <w:spacing w:after="40" w:before="40"/>
            </w:pPr>
            <w:r/>
            <w:r>
              <w:rPr>
                <w:sz w:val="17"/>
              </w:rPr>
              <w:t>Section 6</w:t>
            </w:r>
          </w:p>
        </w:tc>
        <w:tc>
          <w:tcPr>
            <w:tcW w:type="dxa" w:w="5587"/>
            <w:vAlign w:val="center"/>
          </w:tcPr>
          <w:p>
            <w:pPr>
              <w:spacing w:after="40" w:before="40"/>
            </w:pPr>
            <w:r/>
            <w:r>
              <w:rPr>
                <w:sz w:val="17"/>
              </w:rPr>
              <w:t>k = 2…8 sweep with elbow, silhouette, Davies-Bouldin and Calinski-Harabasz</w:t>
            </w:r>
          </w:p>
        </w:tc>
      </w:tr>
      <w:tr>
        <w:trPr>
          <w:cantSplit w:val="true"/>
        </w:trPr>
        <w:tc>
          <w:tcPr>
            <w:tcW w:type="dxa" w:w="2477"/>
            <w:vAlign w:val="center"/>
            <w:shd w:fill="F1F5F9"/>
          </w:tcPr>
          <w:p>
            <w:pPr>
              <w:spacing w:after="40" w:before="40"/>
            </w:pPr>
            <w:r/>
            <w:r>
              <w:rPr>
                <w:sz w:val="17"/>
              </w:rPr>
              <w:t>Hierarchical clustering</w:t>
            </w:r>
          </w:p>
        </w:tc>
        <w:tc>
          <w:tcPr>
            <w:tcW w:type="dxa" w:w="1368"/>
            <w:vAlign w:val="center"/>
            <w:shd w:fill="F1F5F9"/>
          </w:tcPr>
          <w:p>
            <w:pPr>
              <w:spacing w:after="40" w:before="40"/>
            </w:pPr>
            <w:r/>
            <w:r>
              <w:rPr>
                <w:sz w:val="17"/>
              </w:rPr>
              <w:t>Section 8</w:t>
            </w:r>
          </w:p>
        </w:tc>
        <w:tc>
          <w:tcPr>
            <w:tcW w:type="dxa" w:w="5587"/>
            <w:vAlign w:val="center"/>
            <w:shd w:fill="F1F5F9"/>
          </w:tcPr>
          <w:p>
            <w:pPr>
              <w:spacing w:after="40" w:before="40"/>
            </w:pPr>
            <w:r/>
            <w:r>
              <w:rPr>
                <w:sz w:val="17"/>
              </w:rPr>
              <w:t>Four linkage rules compared; dendrogram; non-degeneracy filter</w:t>
            </w:r>
          </w:p>
        </w:tc>
      </w:tr>
      <w:tr>
        <w:trPr>
          <w:cantSplit w:val="true"/>
        </w:trPr>
        <w:tc>
          <w:tcPr>
            <w:tcW w:type="dxa" w:w="2477"/>
            <w:vAlign w:val="center"/>
          </w:tcPr>
          <w:p>
            <w:pPr>
              <w:spacing w:after="40" w:before="40"/>
            </w:pPr>
            <w:r/>
            <w:r>
              <w:rPr>
                <w:sz w:val="17"/>
              </w:rPr>
              <w:t>Dimensionality reduction</w:t>
            </w:r>
          </w:p>
        </w:tc>
        <w:tc>
          <w:tcPr>
            <w:tcW w:type="dxa" w:w="1368"/>
            <w:vAlign w:val="center"/>
          </w:tcPr>
          <w:p>
            <w:pPr>
              <w:spacing w:after="40" w:before="40"/>
            </w:pPr>
            <w:r/>
            <w:r>
              <w:rPr>
                <w:sz w:val="17"/>
              </w:rPr>
              <w:t>Sections 5 and 10</w:t>
            </w:r>
          </w:p>
        </w:tc>
        <w:tc>
          <w:tcPr>
            <w:tcW w:type="dxa" w:w="5587"/>
            <w:vAlign w:val="center"/>
          </w:tcPr>
          <w:p>
            <w:pPr>
              <w:spacing w:after="40" w:before="40"/>
            </w:pPr>
            <w:r/>
            <w:r>
              <w:rPr>
                <w:sz w:val="17"/>
              </w:rPr>
              <w:t>PCA variance, loadings, 2-D projection, and clustering after reduction</w:t>
            </w:r>
          </w:p>
        </w:tc>
      </w:tr>
      <w:tr>
        <w:trPr>
          <w:cantSplit w:val="true"/>
        </w:trPr>
        <w:tc>
          <w:tcPr>
            <w:tcW w:type="dxa" w:w="2477"/>
            <w:vAlign w:val="center"/>
            <w:shd w:fill="F1F5F9"/>
          </w:tcPr>
          <w:p>
            <w:pPr>
              <w:spacing w:after="40" w:before="40"/>
            </w:pPr>
            <w:r/>
            <w:r>
              <w:rPr>
                <w:sz w:val="17"/>
              </w:rPr>
              <w:t>Cross-validation</w:t>
            </w:r>
          </w:p>
        </w:tc>
        <w:tc>
          <w:tcPr>
            <w:tcW w:type="dxa" w:w="1368"/>
            <w:vAlign w:val="center"/>
            <w:shd w:fill="F1F5F9"/>
          </w:tcPr>
          <w:p>
            <w:pPr>
              <w:spacing w:after="40" w:before="40"/>
            </w:pPr>
            <w:r/>
            <w:r>
              <w:rPr>
                <w:sz w:val="17"/>
              </w:rPr>
              <w:t>Section 14</w:t>
            </w:r>
          </w:p>
        </w:tc>
        <w:tc>
          <w:tcPr>
            <w:tcW w:type="dxa" w:w="5587"/>
            <w:vAlign w:val="center"/>
            <w:shd w:fill="F1F5F9"/>
          </w:tcPr>
          <w:p>
            <w:pPr>
              <w:spacing w:after="40" w:before="40"/>
            </w:pPr>
            <w:r/>
            <w:r>
              <w:rPr>
                <w:sz w:val="17"/>
              </w:rPr>
              <w:t>Five-fold stratified; fold spread read as an error bar</w:t>
            </w:r>
          </w:p>
        </w:tc>
      </w:tr>
      <w:tr>
        <w:trPr>
          <w:cantSplit w:val="true"/>
        </w:trPr>
        <w:tc>
          <w:tcPr>
            <w:tcW w:type="dxa" w:w="2477"/>
            <w:vAlign w:val="center"/>
          </w:tcPr>
          <w:p>
            <w:pPr>
              <w:spacing w:after="40" w:before="40"/>
            </w:pPr>
            <w:r/>
            <w:r>
              <w:rPr>
                <w:sz w:val="17"/>
              </w:rPr>
              <w:t>Confusion matrix and metrics</w:t>
            </w:r>
          </w:p>
        </w:tc>
        <w:tc>
          <w:tcPr>
            <w:tcW w:type="dxa" w:w="1368"/>
            <w:vAlign w:val="center"/>
          </w:tcPr>
          <w:p>
            <w:pPr>
              <w:spacing w:after="40" w:before="40"/>
            </w:pPr>
            <w:r/>
            <w:r>
              <w:rPr>
                <w:sz w:val="17"/>
              </w:rPr>
              <w:t>Sections 11–13</w:t>
            </w:r>
          </w:p>
        </w:tc>
        <w:tc>
          <w:tcPr>
            <w:tcW w:type="dxa" w:w="5587"/>
            <w:vAlign w:val="center"/>
          </w:tcPr>
          <w:p>
            <w:pPr>
              <w:spacing w:after="40" w:before="40"/>
            </w:pPr>
            <w:r/>
            <w:r>
              <w:rPr>
                <w:sz w:val="17"/>
              </w:rPr>
              <w:t>Counts derived first, then every metric computed by hand and cross-checked</w:t>
            </w:r>
          </w:p>
        </w:tc>
      </w:tr>
      <w:tr>
        <w:trPr>
          <w:cantSplit w:val="true"/>
        </w:trPr>
        <w:tc>
          <w:tcPr>
            <w:tcW w:type="dxa" w:w="2477"/>
            <w:vAlign w:val="center"/>
            <w:shd w:fill="F1F5F9"/>
          </w:tcPr>
          <w:p>
            <w:pPr>
              <w:spacing w:after="40" w:before="40"/>
            </w:pPr>
            <w:r/>
            <w:r>
              <w:rPr>
                <w:sz w:val="17"/>
              </w:rPr>
              <w:t>Precision, recall, F1, ROC-AUC</w:t>
            </w:r>
          </w:p>
        </w:tc>
        <w:tc>
          <w:tcPr>
            <w:tcW w:type="dxa" w:w="1368"/>
            <w:vAlign w:val="center"/>
            <w:shd w:fill="F1F5F9"/>
          </w:tcPr>
          <w:p>
            <w:pPr>
              <w:spacing w:after="40" w:before="40"/>
            </w:pPr>
            <w:r/>
            <w:r>
              <w:rPr>
                <w:sz w:val="17"/>
              </w:rPr>
              <w:t>Sections 12–13</w:t>
            </w:r>
          </w:p>
        </w:tc>
        <w:tc>
          <w:tcPr>
            <w:tcW w:type="dxa" w:w="5587"/>
            <w:vAlign w:val="center"/>
            <w:shd w:fill="F1F5F9"/>
          </w:tcPr>
          <w:p>
            <w:pPr>
              <w:spacing w:after="40" w:before="40"/>
            </w:pPr>
            <w:r/>
            <w:r>
              <w:rPr>
                <w:sz w:val="17"/>
              </w:rPr>
              <w:t>Each defined, computed from the matrix, then interpreted in cost terms</w:t>
            </w:r>
          </w:p>
        </w:tc>
      </w:tr>
      <w:tr>
        <w:trPr>
          <w:cantSplit w:val="true"/>
        </w:trPr>
        <w:tc>
          <w:tcPr>
            <w:tcW w:type="dxa" w:w="2477"/>
            <w:vAlign w:val="center"/>
          </w:tcPr>
          <w:p>
            <w:pPr>
              <w:spacing w:after="40" w:before="40"/>
            </w:pPr>
            <w:r/>
            <w:r>
              <w:rPr>
                <w:sz w:val="17"/>
              </w:rPr>
              <w:t>Hyperparameter tuning</w:t>
            </w:r>
          </w:p>
        </w:tc>
        <w:tc>
          <w:tcPr>
            <w:tcW w:type="dxa" w:w="1368"/>
            <w:vAlign w:val="center"/>
          </w:tcPr>
          <w:p>
            <w:pPr>
              <w:spacing w:after="40" w:before="40"/>
            </w:pPr>
            <w:r/>
            <w:r>
              <w:rPr>
                <w:sz w:val="17"/>
              </w:rPr>
              <w:t>Section 15</w:t>
            </w:r>
          </w:p>
        </w:tc>
        <w:tc>
          <w:tcPr>
            <w:tcW w:type="dxa" w:w="5587"/>
            <w:vAlign w:val="center"/>
          </w:tcPr>
          <w:p>
            <w:pPr>
              <w:spacing w:after="40" w:before="40"/>
            </w:pPr>
            <w:r/>
            <w:r>
              <w:rPr>
                <w:sz w:val="17"/>
              </w:rPr>
              <w:t>GridSearchCV over 5 + 32 combinations, scored on CV only</w:t>
            </w:r>
          </w:p>
        </w:tc>
      </w:tr>
      <w:tr>
        <w:trPr>
          <w:cantSplit w:val="true"/>
        </w:trPr>
        <w:tc>
          <w:tcPr>
            <w:tcW w:type="dxa" w:w="2477"/>
            <w:vAlign w:val="center"/>
            <w:shd w:fill="F1F5F9"/>
          </w:tcPr>
          <w:p>
            <w:pPr>
              <w:spacing w:after="40" w:before="40"/>
            </w:pPr>
            <w:r/>
            <w:r>
              <w:rPr>
                <w:sz w:val="17"/>
              </w:rPr>
              <w:t>Clustering deliverable</w:t>
            </w:r>
          </w:p>
        </w:tc>
        <w:tc>
          <w:tcPr>
            <w:tcW w:type="dxa" w:w="1368"/>
            <w:vAlign w:val="center"/>
            <w:shd w:fill="F1F5F9"/>
          </w:tcPr>
          <w:p>
            <w:pPr>
              <w:spacing w:after="40" w:before="40"/>
            </w:pPr>
            <w:r/>
            <w:r>
              <w:rPr>
                <w:sz w:val="17"/>
              </w:rPr>
              <w:t>Sections 5–10</w:t>
            </w:r>
          </w:p>
        </w:tc>
        <w:tc>
          <w:tcPr>
            <w:tcW w:type="dxa" w:w="5587"/>
            <w:vAlign w:val="center"/>
            <w:shd w:fill="F1F5F9"/>
          </w:tcPr>
          <w:p>
            <w:pPr>
              <w:spacing w:after="40" w:before="40"/>
            </w:pPr>
            <w:r/>
            <w:r>
              <w:rPr>
                <w:sz w:val="17"/>
              </w:rPr>
              <w:t>Three segments profiled and validated against an external label</w:t>
            </w:r>
          </w:p>
        </w:tc>
      </w:tr>
      <w:tr>
        <w:trPr>
          <w:cantSplit w:val="true"/>
        </w:trPr>
        <w:tc>
          <w:tcPr>
            <w:tcW w:type="dxa" w:w="2477"/>
            <w:vAlign w:val="center"/>
          </w:tcPr>
          <w:p>
            <w:pPr>
              <w:spacing w:after="40" w:before="40"/>
            </w:pPr>
            <w:r/>
            <w:r>
              <w:rPr>
                <w:sz w:val="17"/>
              </w:rPr>
              <w:t>Evaluation report</w:t>
            </w:r>
          </w:p>
        </w:tc>
        <w:tc>
          <w:tcPr>
            <w:tcW w:type="dxa" w:w="1368"/>
            <w:vAlign w:val="center"/>
          </w:tcPr>
          <w:p>
            <w:pPr>
              <w:spacing w:after="40" w:before="40"/>
            </w:pPr>
            <w:r/>
            <w:r>
              <w:rPr>
                <w:sz w:val="17"/>
              </w:rPr>
              <w:t>Sections 11–19</w:t>
            </w:r>
          </w:p>
        </w:tc>
        <w:tc>
          <w:tcPr>
            <w:tcW w:type="dxa" w:w="5587"/>
            <w:vAlign w:val="center"/>
          </w:tcPr>
          <w:p>
            <w:pPr>
              <w:spacing w:after="40" w:before="40"/>
            </w:pPr>
            <w:r/>
            <w:r>
              <w:rPr>
                <w:sz w:val="17"/>
              </w:rPr>
              <w:t>Tuned model, nested CV, learning curve, calibration, limitations</w:t>
            </w:r>
          </w:p>
        </w:tc>
      </w:tr>
    </w:tbl>
    <w:p>
      <w:pPr>
        <w:spacing w:after="40" w:before="0"/>
      </w:pPr>
    </w:p>
    <w:p>
      <w:pPr>
        <w:pStyle w:val="Heading2"/>
      </w:pPr>
      <w:r>
        <w:t>3.2 What this report deliberately does not claim</w:t>
      </w:r>
    </w:p>
    <w:p>
      <w:pPr>
        <w:pStyle w:val="ListBullet"/>
        <w:spacing w:after="60"/>
        <w:ind w:left="403"/>
      </w:pPr>
      <w:r>
        <w:t>That the clusters describe customers in a way a business could act on. The silhouette of 0.162 indicates substantial overlap.</w:t>
      </w:r>
    </w:p>
    <w:p>
      <w:pPr>
        <w:pStyle w:val="ListBullet"/>
        <w:spacing w:after="60"/>
        <w:ind w:left="403"/>
      </w:pPr>
      <w:r>
        <w:t>That the classifier is good. It is measurably better than chance and measurably worse than a do-nothing rule on accuracy.</w:t>
      </w:r>
    </w:p>
    <w:p>
      <w:pPr>
        <w:pStyle w:val="ListBullet"/>
        <w:spacing w:after="60"/>
        <w:ind w:left="403"/>
      </w:pPr>
      <w:r>
        <w:t>That hyperparameter tuning produced a better model. It produced a statistically indistinguishable one, and the report says so.</w:t>
      </w:r>
    </w:p>
    <w:p>
      <w:pPr>
        <w:pStyle w:val="ListBullet"/>
        <w:spacing w:after="60"/>
        <w:ind w:left="403"/>
      </w:pPr>
      <w:r>
        <w:t>That any of these numbers would transfer to real customer data. The dataset is synthetic.</w:t>
      </w:r>
    </w:p>
    <w:p>
      <w:pPr>
        <w:pStyle w:val="Heading1"/>
      </w:pPr>
      <w:r>
        <w:t>4. Dataset and feature space</w:t>
      </w:r>
    </w:p>
    <w:p>
      <w:r>
        <w:rPr>
          <w:i w:val="0"/>
        </w:rPr>
        <w:t>The data is the same synthetic customer-churn sample used in Week 2: 1,800 records across 13 columns, of which 5 are numeric and 6 categorical. The churn label is present but plays no part in Part A — it is held back and used only to ask, afterwards, whether the clusters happened to match it.</w:t>
      </w:r>
    </w:p>
    <w:p>
      <w:r>
        <w:rPr>
          <w:i w:val="0"/>
        </w:rPr>
        <w:t>There are 480 churners (26.7%) and 1,320 non-churners, and 562 missing feature cells. Missingness is handled by median imputation for numbers and most-frequent imputation for categories, both fitted inside the transformer so that no statistic crosses from test data into training.</w:t>
      </w:r>
    </w:p>
    <w:p>
      <w:pPr>
        <w:pStyle w:val="Heading2"/>
      </w:pPr>
      <w:r>
        <w:t>4.1 Encoding choices</w:t>
      </w:r>
    </w:p>
    <w:p>
      <w:r>
        <w:rPr>
          <w:i w:val="0"/>
        </w:rPr>
        <w:t>Clustering is a distance-based procedure, so the representation of each column directly determines the result. Two different treatments are applied:</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2333"/>
            <w:vAlign w:val="center"/>
            <w:shd w:fill="17324D"/>
          </w:tcPr>
          <w:p>
            <w:pPr>
              <w:spacing w:after="40" w:before="40"/>
            </w:pPr>
            <w:r/>
            <w:r>
              <w:rPr>
                <w:b/>
                <w:color w:val="FFFFFF"/>
                <w:sz w:val="17"/>
              </w:rPr>
              <w:t>Column type</w:t>
            </w:r>
          </w:p>
        </w:tc>
        <w:tc>
          <w:tcPr>
            <w:tcW w:type="dxa" w:w="2664"/>
            <w:vAlign w:val="center"/>
            <w:shd w:fill="17324D"/>
          </w:tcPr>
          <w:p>
            <w:pPr>
              <w:spacing w:after="40" w:before="40"/>
            </w:pPr>
            <w:r/>
            <w:r>
              <w:rPr>
                <w:b/>
                <w:color w:val="FFFFFF"/>
                <w:sz w:val="17"/>
              </w:rPr>
              <w:t>Treatment</w:t>
            </w:r>
          </w:p>
        </w:tc>
        <w:tc>
          <w:tcPr>
            <w:tcW w:type="dxa" w:w="4435"/>
            <w:vAlign w:val="center"/>
            <w:shd w:fill="17324D"/>
          </w:tcPr>
          <w:p>
            <w:pPr>
              <w:spacing w:after="40" w:before="40"/>
            </w:pPr>
            <w:r/>
            <w:r>
              <w:rPr>
                <w:b/>
                <w:color w:val="FFFFFF"/>
                <w:sz w:val="17"/>
              </w:rPr>
              <w:t>Reason</w:t>
            </w:r>
          </w:p>
        </w:tc>
      </w:tr>
      <w:tr>
        <w:trPr>
          <w:cantSplit w:val="true"/>
        </w:trPr>
        <w:tc>
          <w:tcPr>
            <w:tcW w:type="dxa" w:w="2333"/>
            <w:vAlign w:val="center"/>
          </w:tcPr>
          <w:p>
            <w:pPr>
              <w:spacing w:after="40" w:before="40"/>
            </w:pPr>
            <w:r/>
            <w:r>
              <w:rPr>
                <w:sz w:val="17"/>
              </w:rPr>
              <w:t>Numeric (5 columns)</w:t>
            </w:r>
          </w:p>
        </w:tc>
        <w:tc>
          <w:tcPr>
            <w:tcW w:type="dxa" w:w="2664"/>
            <w:vAlign w:val="center"/>
          </w:tcPr>
          <w:p>
            <w:pPr>
              <w:spacing w:after="40" w:before="40"/>
            </w:pPr>
            <w:r/>
            <w:r>
              <w:rPr>
                <w:sz w:val="17"/>
              </w:rPr>
              <w:t>Median impute → standardise</w:t>
            </w:r>
          </w:p>
        </w:tc>
        <w:tc>
          <w:tcPr>
            <w:tcW w:type="dxa" w:w="4435"/>
            <w:vAlign w:val="center"/>
          </w:tcPr>
          <w:p>
            <w:pPr>
              <w:spacing w:after="40" w:before="40"/>
            </w:pPr>
            <w:r/>
            <w:r>
              <w:rPr>
                <w:sz w:val="17"/>
              </w:rPr>
              <w:t>Dollars, months and counts are not comparable magnitudes</w:t>
            </w:r>
          </w:p>
        </w:tc>
      </w:tr>
      <w:tr>
        <w:trPr>
          <w:cantSplit w:val="true"/>
        </w:trPr>
        <w:tc>
          <w:tcPr>
            <w:tcW w:type="dxa" w:w="2333"/>
            <w:vAlign w:val="center"/>
            <w:shd w:fill="F1F5F9"/>
          </w:tcPr>
          <w:p>
            <w:pPr>
              <w:spacing w:after="40" w:before="40"/>
            </w:pPr>
            <w:r/>
            <w:r>
              <w:rPr>
                <w:sz w:val="17"/>
              </w:rPr>
              <w:t>Categorical (6 columns)</w:t>
            </w:r>
          </w:p>
        </w:tc>
        <w:tc>
          <w:tcPr>
            <w:tcW w:type="dxa" w:w="2664"/>
            <w:vAlign w:val="center"/>
            <w:shd w:fill="F1F5F9"/>
          </w:tcPr>
          <w:p>
            <w:pPr>
              <w:spacing w:after="40" w:before="40"/>
            </w:pPr>
            <w:r/>
            <w:r>
              <w:rPr>
                <w:sz w:val="17"/>
              </w:rPr>
              <w:t>Mode impute → one-hot</w:t>
            </w:r>
          </w:p>
        </w:tc>
        <w:tc>
          <w:tcPr>
            <w:tcW w:type="dxa" w:w="4435"/>
            <w:vAlign w:val="center"/>
            <w:shd w:fill="F1F5F9"/>
          </w:tcPr>
          <w:p>
            <w:pPr>
              <w:spacing w:after="40" w:before="40"/>
            </w:pPr>
            <w:r/>
            <w:r>
              <w:rPr>
                <w:sz w:val="17"/>
              </w:rPr>
              <w:t>K-Means needs numbers, not labels</w:t>
            </w:r>
          </w:p>
        </w:tc>
      </w:tr>
    </w:tbl>
    <w:p>
      <w:pPr>
        <w:spacing w:after="40" w:before="0"/>
      </w:pPr>
    </w:p>
    <w:p>
      <w:r>
        <w:rPr>
          <w:i w:val="0"/>
        </w:rPr>
        <w:t>One-hot columns are deliberately NOT standardised. A dummy for a category present in 5% of rows already has a small variance; forcing it to unit variance would give rare categories as much weight in the distance metric as common ones. Numbers need scaling; indicators do not. The result is a 21-column matrix.</w:t>
      </w:r>
    </w:p>
    <w:p>
      <w:r>
        <w:rPr>
          <w:i w:val="0"/>
        </w:rPr>
        <w:t>The dataset contains 319 senior citizens. This is worth stating up front because the clustering will find them without being told the column exists — a detail that recurs in Section 7.</w:t>
      </w:r>
    </w:p>
    <w:p>
      <w:pPr>
        <w:spacing w:before="80" w:after="40"/>
        <w:jc w:val="center"/>
      </w:pPr>
      <w:r>
        <w:drawing>
          <wp:inline xmlns:a="http://schemas.openxmlformats.org/drawingml/2006/main" xmlns:pic="http://schemas.openxmlformats.org/drawingml/2006/picture">
            <wp:extent cx="5806440" cy="2697109"/>
            <wp:docPr id="1" name="Picture 1"/>
            <wp:cNvGraphicFramePr>
              <a:graphicFrameLocks noChangeAspect="1"/>
            </wp:cNvGraphicFramePr>
            <a:graphic>
              <a:graphicData uri="http://schemas.openxmlformats.org/drawingml/2006/picture">
                <pic:pic>
                  <pic:nvPicPr>
                    <pic:cNvPr id="0" name="00_workflow_overview.png"/>
                    <pic:cNvPicPr/>
                  </pic:nvPicPr>
                  <pic:blipFill>
                    <a:blip r:embed="rId11"/>
                    <a:stretch>
                      <a:fillRect/>
                    </a:stretch>
                  </pic:blipFill>
                  <pic:spPr>
                    <a:xfrm>
                      <a:off x="0" y="0"/>
                      <a:ext cx="5806440" cy="2697109"/>
                    </a:xfrm>
                    <a:prstGeom prst="rect"/>
                  </pic:spPr>
                </pic:pic>
              </a:graphicData>
            </a:graphic>
          </wp:inline>
        </w:drawing>
      </w:r>
    </w:p>
    <w:p>
      <w:pPr>
        <w:spacing w:before="40" w:after="200"/>
        <w:jc w:val="center"/>
      </w:pPr>
      <w:r>
        <w:rPr>
          <w:i/>
          <w:color w:val="7A8794"/>
          <w:sz w:val="16"/>
        </w:rPr>
        <w:t>Figure 1 — The two halves of the work. Part A clusters without the label; Part B evaluates a supervised model. The arrow marks the finding that connects them.</w:t>
      </w:r>
    </w:p>
    <w:p>
      <w:pPr>
        <w:pStyle w:val="Heading1"/>
      </w:pPr>
      <w:r>
        <w:t>5. Dimensionality reduction with PCA</w:t>
      </w:r>
    </w:p>
    <w:p>
      <w:r>
        <w:rPr>
          <w:i w:val="0"/>
        </w:rPr>
        <w:t>Principal component analysis finds the orthogonal directions along which the data varies most, and re-expresses every record in those directions. It is a rotation, not a summary — the first component alone accounts for 24.4% of the total variance, and the first three together for 51.3%.</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1728"/>
            <w:vAlign w:val="center"/>
            <w:shd w:fill="17324D"/>
          </w:tcPr>
          <w:p>
            <w:pPr>
              <w:spacing w:after="40" w:before="40"/>
            </w:pPr>
            <w:r/>
            <w:r>
              <w:rPr>
                <w:b/>
                <w:color w:val="FFFFFF"/>
                <w:sz w:val="17"/>
              </w:rPr>
              <w:t>Component</w:t>
            </w:r>
          </w:p>
        </w:tc>
        <w:tc>
          <w:tcPr>
            <w:tcW w:type="dxa" w:w="2304"/>
            <w:vAlign w:val="center"/>
            <w:shd w:fill="17324D"/>
          </w:tcPr>
          <w:p>
            <w:pPr>
              <w:spacing w:after="40" w:before="40"/>
            </w:pPr>
            <w:r/>
            <w:r>
              <w:rPr>
                <w:b/>
                <w:color w:val="FFFFFF"/>
                <w:sz w:val="17"/>
              </w:rPr>
              <w:t>Eigenvalue</w:t>
            </w:r>
          </w:p>
        </w:tc>
        <w:tc>
          <w:tcPr>
            <w:tcW w:type="dxa" w:w="2664"/>
            <w:vAlign w:val="center"/>
            <w:shd w:fill="17324D"/>
          </w:tcPr>
          <w:p>
            <w:pPr>
              <w:spacing w:after="40" w:before="40"/>
            </w:pPr>
            <w:r/>
            <w:r>
              <w:rPr>
                <w:b/>
                <w:color w:val="FFFFFF"/>
                <w:sz w:val="17"/>
              </w:rPr>
              <w:t>Variance explained</w:t>
            </w:r>
          </w:p>
        </w:tc>
        <w:tc>
          <w:tcPr>
            <w:tcW w:type="dxa" w:w="2736"/>
            <w:vAlign w:val="center"/>
            <w:shd w:fill="17324D"/>
          </w:tcPr>
          <w:p>
            <w:pPr>
              <w:spacing w:after="40" w:before="40"/>
            </w:pPr>
            <w:r/>
            <w:r>
              <w:rPr>
                <w:b/>
                <w:color w:val="FFFFFF"/>
                <w:sz w:val="17"/>
              </w:rPr>
              <w:t>Cumulative</w:t>
            </w:r>
          </w:p>
        </w:tc>
      </w:tr>
      <w:tr>
        <w:trPr>
          <w:cantSplit w:val="true"/>
        </w:trPr>
        <w:tc>
          <w:tcPr>
            <w:tcW w:type="dxa" w:w="1728"/>
            <w:vAlign w:val="center"/>
          </w:tcPr>
          <w:p>
            <w:pPr>
              <w:spacing w:after="40" w:before="40"/>
            </w:pPr>
            <w:r/>
            <w:r>
              <w:rPr>
                <w:sz w:val="17"/>
              </w:rPr>
              <w:t>1</w:t>
            </w:r>
          </w:p>
        </w:tc>
        <w:tc>
          <w:tcPr>
            <w:tcW w:type="dxa" w:w="2304"/>
            <w:vAlign w:val="center"/>
          </w:tcPr>
          <w:p>
            <w:pPr>
              <w:spacing w:after="40" w:before="40"/>
              <w:jc w:val="right"/>
            </w:pPr>
            <w:r/>
            <w:r>
              <w:rPr>
                <w:sz w:val="17"/>
              </w:rPr>
              <w:t>2.018</w:t>
            </w:r>
          </w:p>
        </w:tc>
        <w:tc>
          <w:tcPr>
            <w:tcW w:type="dxa" w:w="2664"/>
            <w:vAlign w:val="center"/>
          </w:tcPr>
          <w:p>
            <w:pPr>
              <w:spacing w:after="40" w:before="40"/>
              <w:jc w:val="right"/>
            </w:pPr>
            <w:r/>
            <w:r>
              <w:rPr>
                <w:sz w:val="17"/>
              </w:rPr>
              <w:t>24.4%</w:t>
            </w:r>
          </w:p>
        </w:tc>
        <w:tc>
          <w:tcPr>
            <w:tcW w:type="dxa" w:w="2736"/>
            <w:vAlign w:val="center"/>
          </w:tcPr>
          <w:p>
            <w:pPr>
              <w:spacing w:after="40" w:before="40"/>
              <w:jc w:val="right"/>
            </w:pPr>
            <w:r/>
            <w:r>
              <w:rPr>
                <w:sz w:val="17"/>
              </w:rPr>
              <w:t>24.4%</w:t>
            </w:r>
          </w:p>
        </w:tc>
      </w:tr>
      <w:tr>
        <w:trPr>
          <w:cantSplit w:val="true"/>
        </w:trPr>
        <w:tc>
          <w:tcPr>
            <w:tcW w:type="dxa" w:w="1728"/>
            <w:vAlign w:val="center"/>
            <w:shd w:fill="F1F5F9"/>
          </w:tcPr>
          <w:p>
            <w:pPr>
              <w:spacing w:after="40" w:before="40"/>
            </w:pPr>
            <w:r/>
            <w:r>
              <w:rPr>
                <w:sz w:val="17"/>
              </w:rPr>
              <w:t>2</w:t>
            </w:r>
          </w:p>
        </w:tc>
        <w:tc>
          <w:tcPr>
            <w:tcW w:type="dxa" w:w="2304"/>
            <w:vAlign w:val="center"/>
            <w:shd w:fill="F1F5F9"/>
          </w:tcPr>
          <w:p>
            <w:pPr>
              <w:spacing w:after="40" w:before="40"/>
              <w:jc w:val="right"/>
            </w:pPr>
            <w:r/>
            <w:r>
              <w:rPr>
                <w:sz w:val="17"/>
              </w:rPr>
              <w:t>1.230</w:t>
            </w:r>
          </w:p>
        </w:tc>
        <w:tc>
          <w:tcPr>
            <w:tcW w:type="dxa" w:w="2664"/>
            <w:vAlign w:val="center"/>
            <w:shd w:fill="F1F5F9"/>
          </w:tcPr>
          <w:p>
            <w:pPr>
              <w:spacing w:after="40" w:before="40"/>
              <w:jc w:val="right"/>
            </w:pPr>
            <w:r/>
            <w:r>
              <w:rPr>
                <w:sz w:val="17"/>
              </w:rPr>
              <w:t>14.9%</w:t>
            </w:r>
          </w:p>
        </w:tc>
        <w:tc>
          <w:tcPr>
            <w:tcW w:type="dxa" w:w="2736"/>
            <w:vAlign w:val="center"/>
            <w:shd w:fill="F1F5F9"/>
          </w:tcPr>
          <w:p>
            <w:pPr>
              <w:spacing w:after="40" w:before="40"/>
              <w:jc w:val="right"/>
            </w:pPr>
            <w:r/>
            <w:r>
              <w:rPr>
                <w:sz w:val="17"/>
              </w:rPr>
              <w:t>39.2%</w:t>
            </w:r>
          </w:p>
        </w:tc>
      </w:tr>
      <w:tr>
        <w:trPr>
          <w:cantSplit w:val="true"/>
        </w:trPr>
        <w:tc>
          <w:tcPr>
            <w:tcW w:type="dxa" w:w="1728"/>
            <w:vAlign w:val="center"/>
          </w:tcPr>
          <w:p>
            <w:pPr>
              <w:spacing w:after="40" w:before="40"/>
            </w:pPr>
            <w:r/>
            <w:r>
              <w:rPr>
                <w:sz w:val="17"/>
              </w:rPr>
              <w:t>3</w:t>
            </w:r>
          </w:p>
        </w:tc>
        <w:tc>
          <w:tcPr>
            <w:tcW w:type="dxa" w:w="2304"/>
            <w:vAlign w:val="center"/>
          </w:tcPr>
          <w:p>
            <w:pPr>
              <w:spacing w:after="40" w:before="40"/>
              <w:jc w:val="right"/>
            </w:pPr>
            <w:r/>
            <w:r>
              <w:rPr>
                <w:sz w:val="17"/>
              </w:rPr>
              <w:t>0.999</w:t>
            </w:r>
          </w:p>
        </w:tc>
        <w:tc>
          <w:tcPr>
            <w:tcW w:type="dxa" w:w="2664"/>
            <w:vAlign w:val="center"/>
          </w:tcPr>
          <w:p>
            <w:pPr>
              <w:spacing w:after="40" w:before="40"/>
              <w:jc w:val="right"/>
            </w:pPr>
            <w:r/>
            <w:r>
              <w:rPr>
                <w:sz w:val="17"/>
              </w:rPr>
              <w:t>12.1%</w:t>
            </w:r>
          </w:p>
        </w:tc>
        <w:tc>
          <w:tcPr>
            <w:tcW w:type="dxa" w:w="2736"/>
            <w:vAlign w:val="center"/>
          </w:tcPr>
          <w:p>
            <w:pPr>
              <w:spacing w:after="40" w:before="40"/>
              <w:jc w:val="right"/>
            </w:pPr>
            <w:r/>
            <w:r>
              <w:rPr>
                <w:sz w:val="17"/>
              </w:rPr>
              <w:t>51.3%</w:t>
            </w:r>
          </w:p>
        </w:tc>
      </w:tr>
      <w:tr>
        <w:trPr>
          <w:cantSplit w:val="true"/>
        </w:trPr>
        <w:tc>
          <w:tcPr>
            <w:tcW w:type="dxa" w:w="1728"/>
            <w:vAlign w:val="center"/>
            <w:shd w:fill="F1F5F9"/>
          </w:tcPr>
          <w:p>
            <w:pPr>
              <w:spacing w:after="40" w:before="40"/>
            </w:pPr>
            <w:r/>
            <w:r>
              <w:rPr>
                <w:sz w:val="17"/>
              </w:rPr>
              <w:t>4</w:t>
            </w:r>
          </w:p>
        </w:tc>
        <w:tc>
          <w:tcPr>
            <w:tcW w:type="dxa" w:w="2304"/>
            <w:vAlign w:val="center"/>
            <w:shd w:fill="F1F5F9"/>
          </w:tcPr>
          <w:p>
            <w:pPr>
              <w:spacing w:after="40" w:before="40"/>
              <w:jc w:val="right"/>
            </w:pPr>
            <w:r/>
            <w:r>
              <w:rPr>
                <w:sz w:val="17"/>
              </w:rPr>
              <w:t>0.923</w:t>
            </w:r>
          </w:p>
        </w:tc>
        <w:tc>
          <w:tcPr>
            <w:tcW w:type="dxa" w:w="2664"/>
            <w:vAlign w:val="center"/>
            <w:shd w:fill="F1F5F9"/>
          </w:tcPr>
          <w:p>
            <w:pPr>
              <w:spacing w:after="40" w:before="40"/>
              <w:jc w:val="right"/>
            </w:pPr>
            <w:r/>
            <w:r>
              <w:rPr>
                <w:sz w:val="17"/>
              </w:rPr>
              <w:t>11.1%</w:t>
            </w:r>
          </w:p>
        </w:tc>
        <w:tc>
          <w:tcPr>
            <w:tcW w:type="dxa" w:w="2736"/>
            <w:vAlign w:val="center"/>
            <w:shd w:fill="F1F5F9"/>
          </w:tcPr>
          <w:p>
            <w:pPr>
              <w:spacing w:after="40" w:before="40"/>
              <w:jc w:val="right"/>
            </w:pPr>
            <w:r/>
            <w:r>
              <w:rPr>
                <w:sz w:val="17"/>
              </w:rPr>
              <w:t>62.4%</w:t>
            </w:r>
          </w:p>
        </w:tc>
      </w:tr>
      <w:tr>
        <w:trPr>
          <w:cantSplit w:val="true"/>
        </w:trPr>
        <w:tc>
          <w:tcPr>
            <w:tcW w:type="dxa" w:w="1728"/>
            <w:vAlign w:val="center"/>
          </w:tcPr>
          <w:p>
            <w:pPr>
              <w:spacing w:after="40" w:before="40"/>
            </w:pPr>
            <w:r/>
            <w:r>
              <w:rPr>
                <w:sz w:val="17"/>
              </w:rPr>
              <w:t>5</w:t>
            </w:r>
          </w:p>
        </w:tc>
        <w:tc>
          <w:tcPr>
            <w:tcW w:type="dxa" w:w="2304"/>
            <w:vAlign w:val="center"/>
          </w:tcPr>
          <w:p>
            <w:pPr>
              <w:spacing w:after="40" w:before="40"/>
              <w:jc w:val="right"/>
            </w:pPr>
            <w:r/>
            <w:r>
              <w:rPr>
                <w:sz w:val="17"/>
              </w:rPr>
              <w:t>0.505</w:t>
            </w:r>
          </w:p>
        </w:tc>
        <w:tc>
          <w:tcPr>
            <w:tcW w:type="dxa" w:w="2664"/>
            <w:vAlign w:val="center"/>
          </w:tcPr>
          <w:p>
            <w:pPr>
              <w:spacing w:after="40" w:before="40"/>
              <w:jc w:val="right"/>
            </w:pPr>
            <w:r/>
            <w:r>
              <w:rPr>
                <w:sz w:val="17"/>
              </w:rPr>
              <w:t>6.1%</w:t>
            </w:r>
          </w:p>
        </w:tc>
        <w:tc>
          <w:tcPr>
            <w:tcW w:type="dxa" w:w="2736"/>
            <w:vAlign w:val="center"/>
          </w:tcPr>
          <w:p>
            <w:pPr>
              <w:spacing w:after="40" w:before="40"/>
              <w:jc w:val="right"/>
            </w:pPr>
            <w:r/>
            <w:r>
              <w:rPr>
                <w:sz w:val="17"/>
              </w:rPr>
              <w:t>68.5%</w:t>
            </w:r>
          </w:p>
        </w:tc>
      </w:tr>
      <w:tr>
        <w:trPr>
          <w:cantSplit w:val="true"/>
        </w:trPr>
        <w:tc>
          <w:tcPr>
            <w:tcW w:type="dxa" w:w="1728"/>
            <w:vAlign w:val="center"/>
            <w:shd w:fill="F1F5F9"/>
          </w:tcPr>
          <w:p>
            <w:pPr>
              <w:spacing w:after="40" w:before="40"/>
            </w:pPr>
            <w:r/>
            <w:r>
              <w:rPr>
                <w:sz w:val="17"/>
              </w:rPr>
              <w:t>6</w:t>
            </w:r>
          </w:p>
        </w:tc>
        <w:tc>
          <w:tcPr>
            <w:tcW w:type="dxa" w:w="2304"/>
            <w:vAlign w:val="center"/>
            <w:shd w:fill="F1F5F9"/>
          </w:tcPr>
          <w:p>
            <w:pPr>
              <w:spacing w:after="40" w:before="40"/>
              <w:jc w:val="right"/>
            </w:pPr>
            <w:r/>
            <w:r>
              <w:rPr>
                <w:sz w:val="17"/>
              </w:rPr>
              <w:t>0.422</w:t>
            </w:r>
          </w:p>
        </w:tc>
        <w:tc>
          <w:tcPr>
            <w:tcW w:type="dxa" w:w="2664"/>
            <w:vAlign w:val="center"/>
            <w:shd w:fill="F1F5F9"/>
          </w:tcPr>
          <w:p>
            <w:pPr>
              <w:spacing w:after="40" w:before="40"/>
              <w:jc w:val="right"/>
            </w:pPr>
            <w:r/>
            <w:r>
              <w:rPr>
                <w:sz w:val="17"/>
              </w:rPr>
              <w:t>5.1%</w:t>
            </w:r>
          </w:p>
        </w:tc>
        <w:tc>
          <w:tcPr>
            <w:tcW w:type="dxa" w:w="2736"/>
            <w:vAlign w:val="center"/>
            <w:shd w:fill="F1F5F9"/>
          </w:tcPr>
          <w:p>
            <w:pPr>
              <w:spacing w:after="40" w:before="40"/>
              <w:jc w:val="right"/>
            </w:pPr>
            <w:r/>
            <w:r>
              <w:rPr>
                <w:sz w:val="17"/>
              </w:rPr>
              <w:t>73.6%</w:t>
            </w:r>
          </w:p>
        </w:tc>
      </w:tr>
      <w:tr>
        <w:trPr>
          <w:cantSplit w:val="true"/>
        </w:trPr>
        <w:tc>
          <w:tcPr>
            <w:tcW w:type="dxa" w:w="1728"/>
            <w:vAlign w:val="center"/>
          </w:tcPr>
          <w:p>
            <w:pPr>
              <w:spacing w:after="40" w:before="40"/>
            </w:pPr>
            <w:r/>
            <w:r>
              <w:rPr>
                <w:sz w:val="17"/>
              </w:rPr>
              <w:t>7</w:t>
            </w:r>
          </w:p>
        </w:tc>
        <w:tc>
          <w:tcPr>
            <w:tcW w:type="dxa" w:w="2304"/>
            <w:vAlign w:val="center"/>
          </w:tcPr>
          <w:p>
            <w:pPr>
              <w:spacing w:after="40" w:before="40"/>
              <w:jc w:val="right"/>
            </w:pPr>
            <w:r/>
            <w:r>
              <w:rPr>
                <w:sz w:val="17"/>
              </w:rPr>
              <w:t>0.405</w:t>
            </w:r>
          </w:p>
        </w:tc>
        <w:tc>
          <w:tcPr>
            <w:tcW w:type="dxa" w:w="2664"/>
            <w:vAlign w:val="center"/>
          </w:tcPr>
          <w:p>
            <w:pPr>
              <w:spacing w:after="40" w:before="40"/>
              <w:jc w:val="right"/>
            </w:pPr>
            <w:r/>
            <w:r>
              <w:rPr>
                <w:sz w:val="17"/>
              </w:rPr>
              <w:t>4.9%</w:t>
            </w:r>
          </w:p>
        </w:tc>
        <w:tc>
          <w:tcPr>
            <w:tcW w:type="dxa" w:w="2736"/>
            <w:vAlign w:val="center"/>
          </w:tcPr>
          <w:p>
            <w:pPr>
              <w:spacing w:after="40" w:before="40"/>
              <w:jc w:val="right"/>
            </w:pPr>
            <w:r/>
            <w:r>
              <w:rPr>
                <w:sz w:val="17"/>
              </w:rPr>
              <w:t>78.5%</w:t>
            </w:r>
          </w:p>
        </w:tc>
      </w:tr>
      <w:tr>
        <w:trPr>
          <w:cantSplit w:val="true"/>
        </w:trPr>
        <w:tc>
          <w:tcPr>
            <w:tcW w:type="dxa" w:w="1728"/>
            <w:vAlign w:val="center"/>
            <w:shd w:fill="F1F5F9"/>
          </w:tcPr>
          <w:p>
            <w:pPr>
              <w:spacing w:after="40" w:before="40"/>
            </w:pPr>
            <w:r/>
            <w:r>
              <w:rPr>
                <w:sz w:val="17"/>
              </w:rPr>
              <w:t>8</w:t>
            </w:r>
          </w:p>
        </w:tc>
        <w:tc>
          <w:tcPr>
            <w:tcW w:type="dxa" w:w="2304"/>
            <w:vAlign w:val="center"/>
            <w:shd w:fill="F1F5F9"/>
          </w:tcPr>
          <w:p>
            <w:pPr>
              <w:spacing w:after="40" w:before="40"/>
              <w:jc w:val="right"/>
            </w:pPr>
            <w:r/>
            <w:r>
              <w:rPr>
                <w:sz w:val="17"/>
              </w:rPr>
              <w:t>0.377</w:t>
            </w:r>
          </w:p>
        </w:tc>
        <w:tc>
          <w:tcPr>
            <w:tcW w:type="dxa" w:w="2664"/>
            <w:vAlign w:val="center"/>
            <w:shd w:fill="F1F5F9"/>
          </w:tcPr>
          <w:p>
            <w:pPr>
              <w:spacing w:after="40" w:before="40"/>
              <w:jc w:val="right"/>
            </w:pPr>
            <w:r/>
            <w:r>
              <w:rPr>
                <w:sz w:val="17"/>
              </w:rPr>
              <w:t>4.6%</w:t>
            </w:r>
          </w:p>
        </w:tc>
        <w:tc>
          <w:tcPr>
            <w:tcW w:type="dxa" w:w="2736"/>
            <w:vAlign w:val="center"/>
            <w:shd w:fill="F1F5F9"/>
          </w:tcPr>
          <w:p>
            <w:pPr>
              <w:spacing w:after="40" w:before="40"/>
              <w:jc w:val="right"/>
            </w:pPr>
            <w:r/>
            <w:r>
              <w:rPr>
                <w:sz w:val="17"/>
              </w:rPr>
              <w:t>83.1%</w:t>
            </w:r>
          </w:p>
        </w:tc>
      </w:tr>
      <w:tr>
        <w:trPr>
          <w:cantSplit w:val="true"/>
        </w:trPr>
        <w:tc>
          <w:tcPr>
            <w:tcW w:type="dxa" w:w="1728"/>
            <w:vAlign w:val="center"/>
          </w:tcPr>
          <w:p>
            <w:pPr>
              <w:spacing w:after="40" w:before="40"/>
            </w:pPr>
            <w:r/>
            <w:r>
              <w:rPr>
                <w:sz w:val="17"/>
              </w:rPr>
              <w:t>9</w:t>
            </w:r>
          </w:p>
        </w:tc>
        <w:tc>
          <w:tcPr>
            <w:tcW w:type="dxa" w:w="2304"/>
            <w:vAlign w:val="center"/>
          </w:tcPr>
          <w:p>
            <w:pPr>
              <w:spacing w:after="40" w:before="40"/>
              <w:jc w:val="right"/>
            </w:pPr>
            <w:r/>
            <w:r>
              <w:rPr>
                <w:sz w:val="17"/>
              </w:rPr>
              <w:t>0.313</w:t>
            </w:r>
          </w:p>
        </w:tc>
        <w:tc>
          <w:tcPr>
            <w:tcW w:type="dxa" w:w="2664"/>
            <w:vAlign w:val="center"/>
          </w:tcPr>
          <w:p>
            <w:pPr>
              <w:spacing w:after="40" w:before="40"/>
              <w:jc w:val="right"/>
            </w:pPr>
            <w:r/>
            <w:r>
              <w:rPr>
                <w:sz w:val="17"/>
              </w:rPr>
              <w:t>3.8%</w:t>
            </w:r>
          </w:p>
        </w:tc>
        <w:tc>
          <w:tcPr>
            <w:tcW w:type="dxa" w:w="2736"/>
            <w:vAlign w:val="center"/>
          </w:tcPr>
          <w:p>
            <w:pPr>
              <w:spacing w:after="40" w:before="40"/>
              <w:jc w:val="right"/>
            </w:pPr>
            <w:r/>
            <w:r>
              <w:rPr>
                <w:sz w:val="17"/>
              </w:rPr>
              <w:t>86.8%</w:t>
            </w:r>
          </w:p>
        </w:tc>
      </w:tr>
      <w:tr>
        <w:trPr>
          <w:cantSplit w:val="true"/>
        </w:trPr>
        <w:tc>
          <w:tcPr>
            <w:tcW w:type="dxa" w:w="1728"/>
            <w:vAlign w:val="center"/>
            <w:shd w:fill="F1F5F9"/>
          </w:tcPr>
          <w:p>
            <w:pPr>
              <w:spacing w:after="40" w:before="40"/>
            </w:pPr>
            <w:r/>
            <w:r>
              <w:rPr>
                <w:sz w:val="17"/>
              </w:rPr>
              <w:t>10</w:t>
            </w:r>
          </w:p>
        </w:tc>
        <w:tc>
          <w:tcPr>
            <w:tcW w:type="dxa" w:w="2304"/>
            <w:vAlign w:val="center"/>
            <w:shd w:fill="F1F5F9"/>
          </w:tcPr>
          <w:p>
            <w:pPr>
              <w:spacing w:after="40" w:before="40"/>
              <w:jc w:val="right"/>
            </w:pPr>
            <w:r/>
            <w:r>
              <w:rPr>
                <w:sz w:val="17"/>
              </w:rPr>
              <w:t>0.295</w:t>
            </w:r>
          </w:p>
        </w:tc>
        <w:tc>
          <w:tcPr>
            <w:tcW w:type="dxa" w:w="2664"/>
            <w:vAlign w:val="center"/>
            <w:shd w:fill="F1F5F9"/>
          </w:tcPr>
          <w:p>
            <w:pPr>
              <w:spacing w:after="40" w:before="40"/>
              <w:jc w:val="right"/>
            </w:pPr>
            <w:r/>
            <w:r>
              <w:rPr>
                <w:sz w:val="17"/>
              </w:rPr>
              <w:t>3.6%</w:t>
            </w:r>
          </w:p>
        </w:tc>
        <w:tc>
          <w:tcPr>
            <w:tcW w:type="dxa" w:w="2736"/>
            <w:vAlign w:val="center"/>
            <w:shd w:fill="F1F5F9"/>
          </w:tcPr>
          <w:p>
            <w:pPr>
              <w:spacing w:after="40" w:before="40"/>
              <w:jc w:val="right"/>
            </w:pPr>
            <w:r/>
            <w:r>
              <w:rPr>
                <w:sz w:val="17"/>
              </w:rPr>
              <w:t>90.4%</w:t>
            </w:r>
          </w:p>
        </w:tc>
      </w:tr>
    </w:tbl>
    <w:p>
      <w:pPr>
        <w:spacing w:after="40" w:before="0"/>
      </w:pPr>
    </w:p>
    <w:p>
      <w:pPr>
        <w:spacing w:before="80" w:after="40"/>
        <w:jc w:val="center"/>
      </w:pPr>
      <w:r>
        <w:drawing>
          <wp:inline xmlns:a="http://schemas.openxmlformats.org/drawingml/2006/main" xmlns:pic="http://schemas.openxmlformats.org/drawingml/2006/picture">
            <wp:extent cx="5760720" cy="2007808"/>
            <wp:docPr id="2" name="Picture 2"/>
            <wp:cNvGraphicFramePr>
              <a:graphicFrameLocks noChangeAspect="1"/>
            </wp:cNvGraphicFramePr>
            <a:graphic>
              <a:graphicData uri="http://schemas.openxmlformats.org/drawingml/2006/picture">
                <pic:pic>
                  <pic:nvPicPr>
                    <pic:cNvPr id="0" name="01_pca_variance.png"/>
                    <pic:cNvPicPr/>
                  </pic:nvPicPr>
                  <pic:blipFill>
                    <a:blip r:embed="rId12"/>
                    <a:stretch>
                      <a:fillRect/>
                    </a:stretch>
                  </pic:blipFill>
                  <pic:spPr>
                    <a:xfrm>
                      <a:off x="0" y="0"/>
                      <a:ext cx="5760720" cy="2007808"/>
                    </a:xfrm>
                    <a:prstGeom prst="rect"/>
                  </pic:spPr>
                </pic:pic>
              </a:graphicData>
            </a:graphic>
          </wp:inline>
        </w:drawing>
      </w:r>
    </w:p>
    <w:p>
      <w:pPr>
        <w:spacing w:before="40" w:after="200"/>
        <w:jc w:val="center"/>
      </w:pPr>
      <w:r>
        <w:rPr>
          <w:i/>
          <w:color w:val="7A8794"/>
          <w:sz w:val="16"/>
        </w:rPr>
        <w:t>Figure 2 — Variance explained per component (left) and cumulatively (right). 10 components are needed to reach 90%.</w:t>
      </w:r>
    </w:p>
    <w:p>
      <w:r>
        <w:rPr>
          <w:i w:val="0"/>
        </w:rPr>
        <w:t>The practical figures are 10 components for 90% of the variance and 12 for 95%. Reducing 21 columns to 10 is a real compression, and it is what makes the 2-D plots in this report possible at all.</w:t>
      </w:r>
    </w:p>
    <w:p>
      <w:pPr>
        <w:pStyle w:val="Heading2"/>
      </w:pPr>
      <w:r>
        <w:t>5.1 What the first component is made of</w:t>
      </w:r>
    </w:p>
    <w:p>
      <w:r>
        <w:rPr>
          <w:i w:val="0"/>
        </w:rPr>
        <w:t>A loading is the weight of one original feature inside a component. Sorting by the absolute loading shows what each component is built from, which is more informative than the variance number alone.</w:t>
      </w: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val="true"/>
        </w:trPr>
        <w:tc>
          <w:tcPr>
            <w:tcW w:type="dxa" w:w="4896"/>
            <w:vAlign w:val="center"/>
            <w:shd w:fill="17324D"/>
          </w:tcPr>
          <w:p>
            <w:pPr>
              <w:spacing w:after="40" w:before="40"/>
            </w:pPr>
            <w:r/>
            <w:r>
              <w:rPr>
                <w:b/>
                <w:color w:val="FFFFFF"/>
                <w:sz w:val="17"/>
              </w:rPr>
              <w:t>Feature</w:t>
            </w:r>
          </w:p>
        </w:tc>
        <w:tc>
          <w:tcPr>
            <w:tcW w:type="dxa" w:w="2304"/>
            <w:vAlign w:val="center"/>
            <w:shd w:fill="17324D"/>
          </w:tcPr>
          <w:p>
            <w:pPr>
              <w:spacing w:after="40" w:before="40"/>
            </w:pPr>
            <w:r/>
            <w:r>
              <w:rPr>
                <w:b/>
                <w:color w:val="FFFFFF"/>
                <w:sz w:val="17"/>
              </w:rPr>
              <w:t>PC1 loading</w:t>
            </w:r>
          </w:p>
        </w:tc>
      </w:tr>
      <w:tr>
        <w:trPr>
          <w:cantSplit w:val="true"/>
        </w:trPr>
        <w:tc>
          <w:tcPr>
            <w:tcW w:type="dxa" w:w="4896"/>
            <w:vAlign w:val="center"/>
          </w:tcPr>
          <w:p>
            <w:pPr>
              <w:spacing w:after="40" w:before="40"/>
            </w:pPr>
            <w:r/>
            <w:r>
              <w:rPr>
                <w:sz w:val="17"/>
              </w:rPr>
              <w:t>total charges</w:t>
            </w:r>
          </w:p>
        </w:tc>
        <w:tc>
          <w:tcPr>
            <w:tcW w:type="dxa" w:w="2304"/>
            <w:vAlign w:val="center"/>
          </w:tcPr>
          <w:p>
            <w:pPr>
              <w:spacing w:after="40" w:before="40"/>
              <w:jc w:val="right"/>
            </w:pPr>
            <w:r/>
            <w:r>
              <w:rPr>
                <w:sz w:val="17"/>
              </w:rPr>
              <w:t>+0.673</w:t>
            </w:r>
          </w:p>
        </w:tc>
      </w:tr>
      <w:tr>
        <w:trPr>
          <w:cantSplit w:val="true"/>
        </w:trPr>
        <w:tc>
          <w:tcPr>
            <w:tcW w:type="dxa" w:w="4896"/>
            <w:vAlign w:val="center"/>
            <w:shd w:fill="F1F5F9"/>
          </w:tcPr>
          <w:p>
            <w:pPr>
              <w:spacing w:after="40" w:before="40"/>
            </w:pPr>
            <w:r/>
            <w:r>
              <w:rPr>
                <w:sz w:val="17"/>
              </w:rPr>
              <w:t>monthly charges</w:t>
            </w:r>
          </w:p>
        </w:tc>
        <w:tc>
          <w:tcPr>
            <w:tcW w:type="dxa" w:w="2304"/>
            <w:vAlign w:val="center"/>
            <w:shd w:fill="F1F5F9"/>
          </w:tcPr>
          <w:p>
            <w:pPr>
              <w:spacing w:after="40" w:before="40"/>
              <w:jc w:val="right"/>
            </w:pPr>
            <w:r/>
            <w:r>
              <w:rPr>
                <w:sz w:val="17"/>
              </w:rPr>
              <w:t>+0.492</w:t>
            </w:r>
          </w:p>
        </w:tc>
      </w:tr>
      <w:tr>
        <w:trPr>
          <w:cantSplit w:val="true"/>
        </w:trPr>
        <w:tc>
          <w:tcPr>
            <w:tcW w:type="dxa" w:w="4896"/>
            <w:vAlign w:val="center"/>
          </w:tcPr>
          <w:p>
            <w:pPr>
              <w:spacing w:after="40" w:before="40"/>
            </w:pPr>
            <w:r/>
            <w:r>
              <w:rPr>
                <w:sz w:val="17"/>
              </w:rPr>
              <w:t>tenure months</w:t>
            </w:r>
          </w:p>
        </w:tc>
        <w:tc>
          <w:tcPr>
            <w:tcW w:type="dxa" w:w="2304"/>
            <w:vAlign w:val="center"/>
          </w:tcPr>
          <w:p>
            <w:pPr>
              <w:spacing w:after="40" w:before="40"/>
              <w:jc w:val="right"/>
            </w:pPr>
            <w:r/>
            <w:r>
              <w:rPr>
                <w:sz w:val="17"/>
              </w:rPr>
              <w:t>+0.463</w:t>
            </w:r>
          </w:p>
        </w:tc>
      </w:tr>
      <w:tr>
        <w:trPr>
          <w:cantSplit w:val="true"/>
        </w:trPr>
        <w:tc>
          <w:tcPr>
            <w:tcW w:type="dxa" w:w="4896"/>
            <w:vAlign w:val="center"/>
            <w:shd w:fill="F1F5F9"/>
          </w:tcPr>
          <w:p>
            <w:pPr>
              <w:spacing w:after="40" w:before="40"/>
            </w:pPr>
            <w:r/>
            <w:r>
              <w:rPr>
                <w:sz w:val="17"/>
              </w:rPr>
              <w:t>internet service Fiber optic</w:t>
            </w:r>
          </w:p>
        </w:tc>
        <w:tc>
          <w:tcPr>
            <w:tcW w:type="dxa" w:w="2304"/>
            <w:vAlign w:val="center"/>
            <w:shd w:fill="F1F5F9"/>
          </w:tcPr>
          <w:p>
            <w:pPr>
              <w:spacing w:after="40" w:before="40"/>
              <w:jc w:val="right"/>
            </w:pPr>
            <w:r/>
            <w:r>
              <w:rPr>
                <w:sz w:val="17"/>
              </w:rPr>
              <w:t>+0.202</w:t>
            </w:r>
          </w:p>
        </w:tc>
      </w:tr>
      <w:tr>
        <w:trPr>
          <w:cantSplit w:val="true"/>
        </w:trPr>
        <w:tc>
          <w:tcPr>
            <w:tcW w:type="dxa" w:w="4896"/>
            <w:vAlign w:val="center"/>
          </w:tcPr>
          <w:p>
            <w:pPr>
              <w:spacing w:after="40" w:before="40"/>
            </w:pPr>
            <w:r/>
            <w:r>
              <w:rPr>
                <w:sz w:val="17"/>
              </w:rPr>
              <w:t>support tickets</w:t>
            </w:r>
          </w:p>
        </w:tc>
        <w:tc>
          <w:tcPr>
            <w:tcW w:type="dxa" w:w="2304"/>
            <w:vAlign w:val="center"/>
          </w:tcPr>
          <w:p>
            <w:pPr>
              <w:spacing w:after="40" w:before="40"/>
              <w:jc w:val="right"/>
            </w:pPr>
            <w:r/>
            <w:r>
              <w:rPr>
                <w:sz w:val="17"/>
              </w:rPr>
              <w:t>+0.153</w:t>
            </w:r>
          </w:p>
        </w:tc>
      </w:tr>
    </w:tbl>
    <w:p>
      <w:pPr>
        <w:spacing w:after="40" w:before="0"/>
      </w:pPr>
    </w:p>
    <w:tbl>
      <w:tblPr>
        <w:tblW w:type="auto" w:w="0"/>
        <w:jc w:val="center"/>
        <w:tblLayout w:type="fixed"/>
        <w:tblLook w:firstColumn="1" w:firstRow="1" w:lastColumn="0" w:lastRow="0" w:noHBand="0" w:noVBand="1" w:val="04A0"/>
      </w:tblPr>
      <w:tblGrid>
        <w:gridCol w:w="9764"/>
      </w:tblGrid>
      <w:tr>
        <w:tc>
          <w:tcPr>
            <w:tcW w:type="dxa" w:w="9432"/>
            <w:shd w:fill="FBF1E3"/>
          </w:tcPr>
          <w:p>
            <w:pPr>
              <w:spacing w:before="120" w:after="40"/>
              <w:jc w:val="left"/>
            </w:pPr>
            <w:r/>
            <w:r>
              <w:rPr>
                <w:b/>
                <w:color w:val="B97A2E"/>
                <w:sz w:val="19"/>
              </w:rPr>
              <w:t>Reading PC1</w:t>
            </w:r>
          </w:p>
          <w:p>
            <w:pPr>
              <w:spacing w:after="120"/>
              <w:jc w:val="left"/>
            </w:pPr>
            <w:r>
              <w:rPr>
                <w:sz w:val="18"/>
              </w:rPr>
              <w:t>The three largest loadings are total charges (+0.67), monthly charges (+0.49) and tenure (+0.46), all with the same sign. That is not three findings — it is one axis: how much a customer is worth and how long they have stayed. A component is often a single latent quantity expressed through several correlated columns.</w:t>
            </w:r>
          </w:p>
        </w:tc>
      </w:tr>
    </w:tbl>
    <w:p>
      <w:pPr>
        <w:spacing w:after="40"/>
      </w:pPr>
    </w:p>
    <w:p>
      <w:r>
        <w:rPr>
          <w:i w:val="0"/>
        </w:rPr>
        <w:t>Two components retain only 39.2% of the variance, yet they are the only ones that can be drawn on a page. That ratio sets the expectation for the next figure: it is a compression, and something has been given up.</w:t>
      </w:r>
    </w:p>
    <w:p>
      <w:pPr>
        <w:spacing w:before="80" w:after="40"/>
        <w:jc w:val="center"/>
      </w:pPr>
      <w:r>
        <w:drawing>
          <wp:inline xmlns:a="http://schemas.openxmlformats.org/drawingml/2006/main" xmlns:pic="http://schemas.openxmlformats.org/drawingml/2006/picture">
            <wp:extent cx="5806440" cy="2343270"/>
            <wp:docPr id="3" name="Picture 3"/>
            <wp:cNvGraphicFramePr>
              <a:graphicFrameLocks noChangeAspect="1"/>
            </wp:cNvGraphicFramePr>
            <a:graphic>
              <a:graphicData uri="http://schemas.openxmlformats.org/drawingml/2006/picture">
                <pic:pic>
                  <pic:nvPicPr>
                    <pic:cNvPr id="0" name="02_pca_projection.png"/>
                    <pic:cNvPicPr/>
                  </pic:nvPicPr>
                  <pic:blipFill>
                    <a:blip r:embed="rId13"/>
                    <a:stretch>
                      <a:fillRect/>
                    </a:stretch>
                  </pic:blipFill>
                  <pic:spPr>
                    <a:xfrm>
                      <a:off x="0" y="0"/>
                      <a:ext cx="5806440" cy="2343270"/>
                    </a:xfrm>
                    <a:prstGeom prst="rect"/>
                  </pic:spPr>
                </pic:pic>
              </a:graphicData>
            </a:graphic>
          </wp:inline>
        </w:drawing>
      </w:r>
    </w:p>
    <w:p>
      <w:pPr>
        <w:spacing w:before="40" w:after="200"/>
        <w:jc w:val="center"/>
      </w:pPr>
      <w:r>
        <w:rPr>
          <w:i/>
          <w:color w:val="7A8794"/>
          <w:sz w:val="16"/>
        </w:rPr>
        <w:t>Figure 3 — The same 1,800 customers in two dimensions, coloured first by K-Means cluster and then by actual churn. Both partitions overlap heavily.</w:t>
      </w:r>
    </w:p>
    <w:p>
      <w:r>
        <w:rPr>
          <w:i w:val="0"/>
        </w:rPr>
        <w:t>The right-hand panel is the honest starting point. Churners and non-churners occupy the same region of the projected space, with no traceable boundary between them. Any claim that clustering has 'discovered churn' has to explain away this picture first.</w:t>
      </w:r>
    </w:p>
    <w:p>
      <w:pPr>
        <w:pStyle w:val="Heading1"/>
      </w:pPr>
      <w:r>
        <w:t>6. K-Means: choosing k</w:t>
      </w:r>
    </w:p>
    <w:p>
      <w:r>
        <w:rPr>
          <w:i w:val="0"/>
        </w:rPr>
        <w:t>K-Means partitions records into k groups by alternating between assigning each point to its nearest centroid and moving each centroid to the mean of its members. It requires k in advance, and it will produce k clusters even when the data contains none. Choosing k is therefore the substantive decision, and it cannot be answered by a single formula.</w:t>
      </w:r>
    </w:p>
    <w:p>
      <w:r>
        <w:rPr>
          <w:i w:val="0"/>
        </w:rPr>
        <w:t>Three internal indices are computed across k = 2 to 8. Each measures something different, and they are presented together because they do not agree.</w:t>
      </w:r>
    </w:p>
    <w:tbl>
      <w:tblPr>
        <w:tblStyle w:val="TableGrid"/>
        <w:tblW w:type="auto" w:w="0"/>
        <w:jc w:val="center"/>
        <w:tblLayout w:type="fixed"/>
        <w:tblLook w:firstColumn="1" w:firstRow="1" w:lastColumn="0" w:lastRow="0" w:noHBand="0" w:noVBand="1" w:val="04A0"/>
      </w:tblPr>
      <w:tblGrid>
        <w:gridCol w:w="1627"/>
        <w:gridCol w:w="1627"/>
        <w:gridCol w:w="1627"/>
        <w:gridCol w:w="1627"/>
        <w:gridCol w:w="1627"/>
        <w:gridCol w:w="1627"/>
      </w:tblGrid>
      <w:tr>
        <w:trPr>
          <w:tblHeader w:val="true"/>
          <w:cantSplit w:val="true"/>
        </w:trPr>
        <w:tc>
          <w:tcPr>
            <w:tcW w:type="dxa" w:w="792"/>
            <w:vAlign w:val="center"/>
            <w:shd w:fill="17324D"/>
          </w:tcPr>
          <w:p>
            <w:pPr>
              <w:spacing w:after="40" w:before="40"/>
            </w:pPr>
            <w:r/>
            <w:r>
              <w:rPr>
                <w:b/>
                <w:color w:val="FFFFFF"/>
                <w:sz w:val="17"/>
              </w:rPr>
              <w:t>k</w:t>
            </w:r>
          </w:p>
        </w:tc>
        <w:tc>
          <w:tcPr>
            <w:tcW w:type="dxa" w:w="1656"/>
            <w:vAlign w:val="center"/>
            <w:shd w:fill="17324D"/>
          </w:tcPr>
          <w:p>
            <w:pPr>
              <w:spacing w:after="40" w:before="40"/>
            </w:pPr>
            <w:r/>
            <w:r>
              <w:rPr>
                <w:b/>
                <w:color w:val="FFFFFF"/>
                <w:sz w:val="17"/>
              </w:rPr>
              <w:t>Inertia</w:t>
            </w:r>
          </w:p>
        </w:tc>
        <w:tc>
          <w:tcPr>
            <w:tcW w:type="dxa" w:w="1512"/>
            <w:vAlign w:val="center"/>
            <w:shd w:fill="17324D"/>
          </w:tcPr>
          <w:p>
            <w:pPr>
              <w:spacing w:after="40" w:before="40"/>
            </w:pPr>
            <w:r/>
            <w:r>
              <w:rPr>
                <w:b/>
                <w:color w:val="FFFFFF"/>
                <w:sz w:val="17"/>
              </w:rPr>
              <w:t>Silhouette</w:t>
            </w:r>
          </w:p>
        </w:tc>
        <w:tc>
          <w:tcPr>
            <w:tcW w:type="dxa" w:w="1944"/>
            <w:vAlign w:val="center"/>
            <w:shd w:fill="17324D"/>
          </w:tcPr>
          <w:p>
            <w:pPr>
              <w:spacing w:after="40" w:before="40"/>
            </w:pPr>
            <w:r/>
            <w:r>
              <w:rPr>
                <w:b/>
                <w:color w:val="FFFFFF"/>
                <w:sz w:val="17"/>
              </w:rPr>
              <w:t>Davies-Bouldin</w:t>
            </w:r>
          </w:p>
        </w:tc>
        <w:tc>
          <w:tcPr>
            <w:tcW w:type="dxa" w:w="2232"/>
            <w:vAlign w:val="center"/>
            <w:shd w:fill="17324D"/>
          </w:tcPr>
          <w:p>
            <w:pPr>
              <w:spacing w:after="40" w:before="40"/>
            </w:pPr>
            <w:r/>
            <w:r>
              <w:rPr>
                <w:b/>
                <w:color w:val="FFFFFF"/>
                <w:sz w:val="17"/>
              </w:rPr>
              <w:t>Calinski-Harabasz</w:t>
            </w:r>
          </w:p>
        </w:tc>
        <w:tc>
          <w:tcPr>
            <w:tcW w:type="dxa" w:w="1512"/>
            <w:vAlign w:val="center"/>
            <w:shd w:fill="17324D"/>
          </w:tcPr>
          <w:p>
            <w:pPr>
              <w:spacing w:after="40" w:before="40"/>
            </w:pPr>
            <w:r/>
            <w:r>
              <w:rPr>
                <w:b/>
                <w:color w:val="FFFFFF"/>
                <w:sz w:val="17"/>
              </w:rPr>
              <w:t>ARI vs churn</w:t>
            </w:r>
          </w:p>
        </w:tc>
      </w:tr>
      <w:tr>
        <w:trPr>
          <w:cantSplit w:val="true"/>
        </w:trPr>
        <w:tc>
          <w:tcPr>
            <w:tcW w:type="dxa" w:w="792"/>
            <w:vAlign w:val="center"/>
          </w:tcPr>
          <w:p>
            <w:pPr>
              <w:spacing w:after="40" w:before="40"/>
            </w:pPr>
            <w:r/>
            <w:r>
              <w:rPr>
                <w:sz w:val="17"/>
              </w:rPr>
              <w:t>2</w:t>
            </w:r>
          </w:p>
        </w:tc>
        <w:tc>
          <w:tcPr>
            <w:tcW w:type="dxa" w:w="1656"/>
            <w:vAlign w:val="center"/>
          </w:tcPr>
          <w:p>
            <w:pPr>
              <w:spacing w:after="40" w:before="40"/>
              <w:jc w:val="right"/>
            </w:pPr>
            <w:r/>
            <w:r>
              <w:rPr>
                <w:sz w:val="17"/>
              </w:rPr>
              <w:t>12,374</w:t>
            </w:r>
          </w:p>
        </w:tc>
        <w:tc>
          <w:tcPr>
            <w:tcW w:type="dxa" w:w="1512"/>
            <w:vAlign w:val="center"/>
          </w:tcPr>
          <w:p>
            <w:pPr>
              <w:spacing w:after="40" w:before="40"/>
              <w:jc w:val="right"/>
            </w:pPr>
            <w:r/>
            <w:r>
              <w:rPr>
                <w:sz w:val="17"/>
              </w:rPr>
              <w:t>0.154</w:t>
            </w:r>
          </w:p>
        </w:tc>
        <w:tc>
          <w:tcPr>
            <w:tcW w:type="dxa" w:w="1944"/>
            <w:vAlign w:val="center"/>
          </w:tcPr>
          <w:p>
            <w:pPr>
              <w:spacing w:after="40" w:before="40"/>
              <w:jc w:val="right"/>
            </w:pPr>
            <w:r/>
            <w:r>
              <w:rPr>
                <w:sz w:val="17"/>
              </w:rPr>
              <w:t>2.157</w:t>
            </w:r>
          </w:p>
        </w:tc>
        <w:tc>
          <w:tcPr>
            <w:tcW w:type="dxa" w:w="2232"/>
            <w:vAlign w:val="center"/>
          </w:tcPr>
          <w:p>
            <w:pPr>
              <w:spacing w:after="40" w:before="40"/>
              <w:jc w:val="right"/>
            </w:pPr>
            <w:r/>
            <w:r>
              <w:rPr>
                <w:sz w:val="17"/>
              </w:rPr>
              <w:t>366.6</w:t>
            </w:r>
          </w:p>
        </w:tc>
        <w:tc>
          <w:tcPr>
            <w:tcW w:type="dxa" w:w="1512"/>
            <w:vAlign w:val="center"/>
          </w:tcPr>
          <w:p>
            <w:pPr>
              <w:spacing w:after="40" w:before="40"/>
              <w:jc w:val="right"/>
            </w:pPr>
            <w:r/>
            <w:r>
              <w:rPr>
                <w:sz w:val="17"/>
              </w:rPr>
              <w:t>+0.015</w:t>
            </w:r>
          </w:p>
        </w:tc>
      </w:tr>
      <w:tr>
        <w:trPr>
          <w:cantSplit w:val="true"/>
        </w:trPr>
        <w:tc>
          <w:tcPr>
            <w:tcW w:type="dxa" w:w="792"/>
            <w:vAlign w:val="center"/>
            <w:shd w:fill="F1F5F9"/>
          </w:tcPr>
          <w:p>
            <w:pPr>
              <w:spacing w:after="40" w:before="40"/>
            </w:pPr>
            <w:r/>
            <w:r>
              <w:rPr>
                <w:sz w:val="17"/>
              </w:rPr>
              <w:t>3</w:t>
            </w:r>
          </w:p>
        </w:tc>
        <w:tc>
          <w:tcPr>
            <w:tcW w:type="dxa" w:w="1656"/>
            <w:vAlign w:val="center"/>
            <w:shd w:fill="F1F5F9"/>
          </w:tcPr>
          <w:p>
            <w:pPr>
              <w:spacing w:after="40" w:before="40"/>
              <w:jc w:val="right"/>
            </w:pPr>
            <w:r/>
            <w:r>
              <w:rPr>
                <w:sz w:val="17"/>
              </w:rPr>
              <w:t>11,023</w:t>
            </w:r>
          </w:p>
        </w:tc>
        <w:tc>
          <w:tcPr>
            <w:tcW w:type="dxa" w:w="1512"/>
            <w:vAlign w:val="center"/>
            <w:shd w:fill="F1F5F9"/>
          </w:tcPr>
          <w:p>
            <w:pPr>
              <w:spacing w:after="40" w:before="40"/>
              <w:jc w:val="right"/>
            </w:pPr>
            <w:r/>
            <w:r>
              <w:rPr>
                <w:sz w:val="17"/>
              </w:rPr>
              <w:t>0.162</w:t>
            </w:r>
          </w:p>
        </w:tc>
        <w:tc>
          <w:tcPr>
            <w:tcW w:type="dxa" w:w="1944"/>
            <w:vAlign w:val="center"/>
            <w:shd w:fill="F1F5F9"/>
          </w:tcPr>
          <w:p>
            <w:pPr>
              <w:spacing w:after="40" w:before="40"/>
              <w:jc w:val="right"/>
            </w:pPr>
            <w:r/>
            <w:r>
              <w:rPr>
                <w:sz w:val="17"/>
              </w:rPr>
              <w:t>1.923</w:t>
            </w:r>
          </w:p>
        </w:tc>
        <w:tc>
          <w:tcPr>
            <w:tcW w:type="dxa" w:w="2232"/>
            <w:vAlign w:val="center"/>
            <w:shd w:fill="F1F5F9"/>
          </w:tcPr>
          <w:p>
            <w:pPr>
              <w:spacing w:after="40" w:before="40"/>
              <w:jc w:val="right"/>
            </w:pPr>
            <w:r/>
            <w:r>
              <w:rPr>
                <w:sz w:val="17"/>
              </w:rPr>
              <w:t>315.7</w:t>
            </w:r>
          </w:p>
        </w:tc>
        <w:tc>
          <w:tcPr>
            <w:tcW w:type="dxa" w:w="1512"/>
            <w:vAlign w:val="center"/>
            <w:shd w:fill="F1F5F9"/>
          </w:tcPr>
          <w:p>
            <w:pPr>
              <w:spacing w:after="40" w:before="40"/>
              <w:jc w:val="right"/>
            </w:pPr>
            <w:r/>
            <w:r>
              <w:rPr>
                <w:sz w:val="17"/>
              </w:rPr>
              <w:t>+0.015</w:t>
            </w:r>
          </w:p>
        </w:tc>
      </w:tr>
      <w:tr>
        <w:trPr>
          <w:cantSplit w:val="true"/>
        </w:trPr>
        <w:tc>
          <w:tcPr>
            <w:tcW w:type="dxa" w:w="792"/>
            <w:vAlign w:val="center"/>
          </w:tcPr>
          <w:p>
            <w:pPr>
              <w:spacing w:after="40" w:before="40"/>
            </w:pPr>
            <w:r/>
            <w:r>
              <w:rPr>
                <w:sz w:val="17"/>
              </w:rPr>
              <w:t>4</w:t>
            </w:r>
          </w:p>
        </w:tc>
        <w:tc>
          <w:tcPr>
            <w:tcW w:type="dxa" w:w="1656"/>
            <w:vAlign w:val="center"/>
          </w:tcPr>
          <w:p>
            <w:pPr>
              <w:spacing w:after="40" w:before="40"/>
              <w:jc w:val="right"/>
            </w:pPr>
            <w:r/>
            <w:r>
              <w:rPr>
                <w:sz w:val="17"/>
              </w:rPr>
              <w:t>10,028</w:t>
            </w:r>
          </w:p>
        </w:tc>
        <w:tc>
          <w:tcPr>
            <w:tcW w:type="dxa" w:w="1512"/>
            <w:vAlign w:val="center"/>
          </w:tcPr>
          <w:p>
            <w:pPr>
              <w:spacing w:after="40" w:before="40"/>
              <w:jc w:val="right"/>
            </w:pPr>
            <w:r/>
            <w:r>
              <w:rPr>
                <w:sz w:val="17"/>
              </w:rPr>
              <w:t>0.154</w:t>
            </w:r>
          </w:p>
        </w:tc>
        <w:tc>
          <w:tcPr>
            <w:tcW w:type="dxa" w:w="1944"/>
            <w:vAlign w:val="center"/>
          </w:tcPr>
          <w:p>
            <w:pPr>
              <w:spacing w:after="40" w:before="40"/>
              <w:jc w:val="right"/>
            </w:pPr>
            <w:r/>
            <w:r>
              <w:rPr>
                <w:sz w:val="17"/>
              </w:rPr>
              <w:t>1.884</w:t>
            </w:r>
          </w:p>
        </w:tc>
        <w:tc>
          <w:tcPr>
            <w:tcW w:type="dxa" w:w="2232"/>
            <w:vAlign w:val="center"/>
          </w:tcPr>
          <w:p>
            <w:pPr>
              <w:spacing w:after="40" w:before="40"/>
              <w:jc w:val="right"/>
            </w:pPr>
            <w:r/>
            <w:r>
              <w:rPr>
                <w:sz w:val="17"/>
              </w:rPr>
              <w:t>290.7</w:t>
            </w:r>
          </w:p>
        </w:tc>
        <w:tc>
          <w:tcPr>
            <w:tcW w:type="dxa" w:w="1512"/>
            <w:vAlign w:val="center"/>
          </w:tcPr>
          <w:p>
            <w:pPr>
              <w:spacing w:after="40" w:before="40"/>
              <w:jc w:val="right"/>
            </w:pPr>
            <w:r/>
            <w:r>
              <w:rPr>
                <w:sz w:val="17"/>
              </w:rPr>
              <w:t>+0.000</w:t>
            </w:r>
          </w:p>
        </w:tc>
      </w:tr>
      <w:tr>
        <w:trPr>
          <w:cantSplit w:val="true"/>
        </w:trPr>
        <w:tc>
          <w:tcPr>
            <w:tcW w:type="dxa" w:w="792"/>
            <w:vAlign w:val="center"/>
            <w:shd w:fill="F1F5F9"/>
          </w:tcPr>
          <w:p>
            <w:pPr>
              <w:spacing w:after="40" w:before="40"/>
            </w:pPr>
            <w:r/>
            <w:r>
              <w:rPr>
                <w:sz w:val="17"/>
              </w:rPr>
              <w:t>5</w:t>
            </w:r>
          </w:p>
        </w:tc>
        <w:tc>
          <w:tcPr>
            <w:tcW w:type="dxa" w:w="1656"/>
            <w:vAlign w:val="center"/>
            <w:shd w:fill="F1F5F9"/>
          </w:tcPr>
          <w:p>
            <w:pPr>
              <w:spacing w:after="40" w:before="40"/>
              <w:jc w:val="right"/>
            </w:pPr>
            <w:r/>
            <w:r>
              <w:rPr>
                <w:sz w:val="17"/>
              </w:rPr>
              <w:t>9,406</w:t>
            </w:r>
          </w:p>
        </w:tc>
        <w:tc>
          <w:tcPr>
            <w:tcW w:type="dxa" w:w="1512"/>
            <w:vAlign w:val="center"/>
            <w:shd w:fill="F1F5F9"/>
          </w:tcPr>
          <w:p>
            <w:pPr>
              <w:spacing w:after="40" w:before="40"/>
              <w:jc w:val="right"/>
            </w:pPr>
            <w:r/>
            <w:r>
              <w:rPr>
                <w:sz w:val="17"/>
              </w:rPr>
              <w:t>0.146</w:t>
            </w:r>
          </w:p>
        </w:tc>
        <w:tc>
          <w:tcPr>
            <w:tcW w:type="dxa" w:w="1944"/>
            <w:vAlign w:val="center"/>
            <w:shd w:fill="F1F5F9"/>
          </w:tcPr>
          <w:p>
            <w:pPr>
              <w:spacing w:after="40" w:before="40"/>
              <w:jc w:val="right"/>
            </w:pPr>
            <w:r/>
            <w:r>
              <w:rPr>
                <w:sz w:val="17"/>
              </w:rPr>
              <w:t>1.814</w:t>
            </w:r>
          </w:p>
        </w:tc>
        <w:tc>
          <w:tcPr>
            <w:tcW w:type="dxa" w:w="2232"/>
            <w:vAlign w:val="center"/>
            <w:shd w:fill="F1F5F9"/>
          </w:tcPr>
          <w:p>
            <w:pPr>
              <w:spacing w:after="40" w:before="40"/>
              <w:jc w:val="right"/>
            </w:pPr>
            <w:r/>
            <w:r>
              <w:rPr>
                <w:sz w:val="17"/>
              </w:rPr>
              <w:t>262.0</w:t>
            </w:r>
          </w:p>
        </w:tc>
        <w:tc>
          <w:tcPr>
            <w:tcW w:type="dxa" w:w="1512"/>
            <w:vAlign w:val="center"/>
            <w:shd w:fill="F1F5F9"/>
          </w:tcPr>
          <w:p>
            <w:pPr>
              <w:spacing w:after="40" w:before="40"/>
              <w:jc w:val="right"/>
            </w:pPr>
            <w:r/>
            <w:r>
              <w:rPr>
                <w:sz w:val="17"/>
              </w:rPr>
              <w:t>+0.011</w:t>
            </w:r>
          </w:p>
        </w:tc>
      </w:tr>
      <w:tr>
        <w:trPr>
          <w:cantSplit w:val="true"/>
        </w:trPr>
        <w:tc>
          <w:tcPr>
            <w:tcW w:type="dxa" w:w="792"/>
            <w:vAlign w:val="center"/>
          </w:tcPr>
          <w:p>
            <w:pPr>
              <w:spacing w:after="40" w:before="40"/>
            </w:pPr>
            <w:r/>
            <w:r>
              <w:rPr>
                <w:sz w:val="17"/>
              </w:rPr>
              <w:t>6</w:t>
            </w:r>
          </w:p>
        </w:tc>
        <w:tc>
          <w:tcPr>
            <w:tcW w:type="dxa" w:w="1656"/>
            <w:vAlign w:val="center"/>
          </w:tcPr>
          <w:p>
            <w:pPr>
              <w:spacing w:after="40" w:before="40"/>
              <w:jc w:val="right"/>
            </w:pPr>
            <w:r/>
            <w:r>
              <w:rPr>
                <w:sz w:val="17"/>
              </w:rPr>
              <w:t>8,931</w:t>
            </w:r>
          </w:p>
        </w:tc>
        <w:tc>
          <w:tcPr>
            <w:tcW w:type="dxa" w:w="1512"/>
            <w:vAlign w:val="center"/>
          </w:tcPr>
          <w:p>
            <w:pPr>
              <w:spacing w:after="40" w:before="40"/>
              <w:jc w:val="right"/>
            </w:pPr>
            <w:r/>
            <w:r>
              <w:rPr>
                <w:sz w:val="17"/>
              </w:rPr>
              <w:t>0.131</w:t>
            </w:r>
          </w:p>
        </w:tc>
        <w:tc>
          <w:tcPr>
            <w:tcW w:type="dxa" w:w="1944"/>
            <w:vAlign w:val="center"/>
          </w:tcPr>
          <w:p>
            <w:pPr>
              <w:spacing w:after="40" w:before="40"/>
              <w:jc w:val="right"/>
            </w:pPr>
            <w:r/>
            <w:r>
              <w:rPr>
                <w:sz w:val="17"/>
              </w:rPr>
              <w:t>1.822</w:t>
            </w:r>
          </w:p>
        </w:tc>
        <w:tc>
          <w:tcPr>
            <w:tcW w:type="dxa" w:w="2232"/>
            <w:vAlign w:val="center"/>
          </w:tcPr>
          <w:p>
            <w:pPr>
              <w:spacing w:after="40" w:before="40"/>
              <w:jc w:val="right"/>
            </w:pPr>
            <w:r/>
            <w:r>
              <w:rPr>
                <w:sz w:val="17"/>
              </w:rPr>
              <w:t>239.7</w:t>
            </w:r>
          </w:p>
        </w:tc>
        <w:tc>
          <w:tcPr>
            <w:tcW w:type="dxa" w:w="1512"/>
            <w:vAlign w:val="center"/>
          </w:tcPr>
          <w:p>
            <w:pPr>
              <w:spacing w:after="40" w:before="40"/>
              <w:jc w:val="right"/>
            </w:pPr>
            <w:r/>
            <w:r>
              <w:rPr>
                <w:sz w:val="17"/>
              </w:rPr>
              <w:t>+0.010</w:t>
            </w:r>
          </w:p>
        </w:tc>
      </w:tr>
      <w:tr>
        <w:trPr>
          <w:cantSplit w:val="true"/>
        </w:trPr>
        <w:tc>
          <w:tcPr>
            <w:tcW w:type="dxa" w:w="792"/>
            <w:vAlign w:val="center"/>
            <w:shd w:fill="F1F5F9"/>
          </w:tcPr>
          <w:p>
            <w:pPr>
              <w:spacing w:after="40" w:before="40"/>
            </w:pPr>
            <w:r/>
            <w:r>
              <w:rPr>
                <w:sz w:val="17"/>
              </w:rPr>
              <w:t>7</w:t>
            </w:r>
          </w:p>
        </w:tc>
        <w:tc>
          <w:tcPr>
            <w:tcW w:type="dxa" w:w="1656"/>
            <w:vAlign w:val="center"/>
            <w:shd w:fill="F1F5F9"/>
          </w:tcPr>
          <w:p>
            <w:pPr>
              <w:spacing w:after="40" w:before="40"/>
              <w:jc w:val="right"/>
            </w:pPr>
            <w:r/>
            <w:r>
              <w:rPr>
                <w:sz w:val="17"/>
              </w:rPr>
              <w:t>8,508</w:t>
            </w:r>
          </w:p>
        </w:tc>
        <w:tc>
          <w:tcPr>
            <w:tcW w:type="dxa" w:w="1512"/>
            <w:vAlign w:val="center"/>
            <w:shd w:fill="F1F5F9"/>
          </w:tcPr>
          <w:p>
            <w:pPr>
              <w:spacing w:after="40" w:before="40"/>
              <w:jc w:val="right"/>
            </w:pPr>
            <w:r/>
            <w:r>
              <w:rPr>
                <w:sz w:val="17"/>
              </w:rPr>
              <w:t>0.138</w:t>
            </w:r>
          </w:p>
        </w:tc>
        <w:tc>
          <w:tcPr>
            <w:tcW w:type="dxa" w:w="1944"/>
            <w:vAlign w:val="center"/>
            <w:shd w:fill="F1F5F9"/>
          </w:tcPr>
          <w:p>
            <w:pPr>
              <w:spacing w:after="40" w:before="40"/>
              <w:jc w:val="right"/>
            </w:pPr>
            <w:r/>
            <w:r>
              <w:rPr>
                <w:sz w:val="17"/>
              </w:rPr>
              <w:t>1.885</w:t>
            </w:r>
          </w:p>
        </w:tc>
        <w:tc>
          <w:tcPr>
            <w:tcW w:type="dxa" w:w="2232"/>
            <w:vAlign w:val="center"/>
            <w:shd w:fill="F1F5F9"/>
          </w:tcPr>
          <w:p>
            <w:pPr>
              <w:spacing w:after="40" w:before="40"/>
              <w:jc w:val="right"/>
            </w:pPr>
            <w:r/>
            <w:r>
              <w:rPr>
                <w:sz w:val="17"/>
              </w:rPr>
              <w:t>224.4</w:t>
            </w:r>
          </w:p>
        </w:tc>
        <w:tc>
          <w:tcPr>
            <w:tcW w:type="dxa" w:w="1512"/>
            <w:vAlign w:val="center"/>
            <w:shd w:fill="F1F5F9"/>
          </w:tcPr>
          <w:p>
            <w:pPr>
              <w:spacing w:after="40" w:before="40"/>
              <w:jc w:val="right"/>
            </w:pPr>
            <w:r/>
            <w:r>
              <w:rPr>
                <w:sz w:val="17"/>
              </w:rPr>
              <w:t>+0.009</w:t>
            </w:r>
          </w:p>
        </w:tc>
      </w:tr>
      <w:tr>
        <w:trPr>
          <w:cantSplit w:val="true"/>
        </w:trPr>
        <w:tc>
          <w:tcPr>
            <w:tcW w:type="dxa" w:w="792"/>
            <w:vAlign w:val="center"/>
          </w:tcPr>
          <w:p>
            <w:pPr>
              <w:spacing w:after="40" w:before="40"/>
            </w:pPr>
            <w:r/>
            <w:r>
              <w:rPr>
                <w:sz w:val="17"/>
              </w:rPr>
              <w:t>8</w:t>
            </w:r>
          </w:p>
        </w:tc>
        <w:tc>
          <w:tcPr>
            <w:tcW w:type="dxa" w:w="1656"/>
            <w:vAlign w:val="center"/>
          </w:tcPr>
          <w:p>
            <w:pPr>
              <w:spacing w:after="40" w:before="40"/>
              <w:jc w:val="right"/>
            </w:pPr>
            <w:r/>
            <w:r>
              <w:rPr>
                <w:sz w:val="17"/>
              </w:rPr>
              <w:t>8,125</w:t>
            </w:r>
          </w:p>
        </w:tc>
        <w:tc>
          <w:tcPr>
            <w:tcW w:type="dxa" w:w="1512"/>
            <w:vAlign w:val="center"/>
          </w:tcPr>
          <w:p>
            <w:pPr>
              <w:spacing w:after="40" w:before="40"/>
              <w:jc w:val="right"/>
            </w:pPr>
            <w:r/>
            <w:r>
              <w:rPr>
                <w:sz w:val="17"/>
              </w:rPr>
              <w:t>0.129</w:t>
            </w:r>
          </w:p>
        </w:tc>
        <w:tc>
          <w:tcPr>
            <w:tcW w:type="dxa" w:w="1944"/>
            <w:vAlign w:val="center"/>
          </w:tcPr>
          <w:p>
            <w:pPr>
              <w:spacing w:after="40" w:before="40"/>
              <w:jc w:val="right"/>
            </w:pPr>
            <w:r/>
            <w:r>
              <w:rPr>
                <w:sz w:val="17"/>
              </w:rPr>
              <w:t>1.996</w:t>
            </w:r>
          </w:p>
        </w:tc>
        <w:tc>
          <w:tcPr>
            <w:tcW w:type="dxa" w:w="2232"/>
            <w:vAlign w:val="center"/>
          </w:tcPr>
          <w:p>
            <w:pPr>
              <w:spacing w:after="40" w:before="40"/>
              <w:jc w:val="right"/>
            </w:pPr>
            <w:r/>
            <w:r>
              <w:rPr>
                <w:sz w:val="17"/>
              </w:rPr>
              <w:t>213.4</w:t>
            </w:r>
          </w:p>
        </w:tc>
        <w:tc>
          <w:tcPr>
            <w:tcW w:type="dxa" w:w="1512"/>
            <w:vAlign w:val="center"/>
          </w:tcPr>
          <w:p>
            <w:pPr>
              <w:spacing w:after="40" w:before="40"/>
              <w:jc w:val="right"/>
            </w:pPr>
            <w:r/>
            <w:r>
              <w:rPr>
                <w:sz w:val="17"/>
              </w:rPr>
              <w:t>+0.017</w:t>
            </w:r>
          </w:p>
        </w:tc>
      </w:tr>
    </w:tbl>
    <w:p>
      <w:pPr>
        <w:spacing w:after="40" w:before="0"/>
      </w:pPr>
    </w:p>
    <w:p>
      <w:pPr>
        <w:spacing w:before="80" w:after="40"/>
        <w:jc w:val="center"/>
      </w:pPr>
      <w:r>
        <w:drawing>
          <wp:inline xmlns:a="http://schemas.openxmlformats.org/drawingml/2006/main" xmlns:pic="http://schemas.openxmlformats.org/drawingml/2006/picture">
            <wp:extent cx="5669280" cy="1959236"/>
            <wp:docPr id="4" name="Picture 4"/>
            <wp:cNvGraphicFramePr>
              <a:graphicFrameLocks noChangeAspect="1"/>
            </wp:cNvGraphicFramePr>
            <a:graphic>
              <a:graphicData uri="http://schemas.openxmlformats.org/drawingml/2006/picture">
                <pic:pic>
                  <pic:nvPicPr>
                    <pic:cNvPr id="0" name="03_kmeans_selection.png"/>
                    <pic:cNvPicPr/>
                  </pic:nvPicPr>
                  <pic:blipFill>
                    <a:blip r:embed="rId14"/>
                    <a:stretch>
                      <a:fillRect/>
                    </a:stretch>
                  </pic:blipFill>
                  <pic:spPr>
                    <a:xfrm>
                      <a:off x="0" y="0"/>
                      <a:ext cx="5669280" cy="1959236"/>
                    </a:xfrm>
                    <a:prstGeom prst="rect"/>
                  </pic:spPr>
                </pic:pic>
              </a:graphicData>
            </a:graphic>
          </wp:inline>
        </w:drawing>
      </w:r>
    </w:p>
    <w:p>
      <w:pPr>
        <w:spacing w:before="40" w:after="200"/>
        <w:jc w:val="center"/>
      </w:pPr>
      <w:r>
        <w:rPr>
          <w:i/>
          <w:color w:val="7A8794"/>
          <w:sz w:val="16"/>
        </w:rPr>
        <w:t>Figure 4 — The elbow (left) and the two internal indices (right). Silhouette peaks at k = 3, Davies-Bouldin bottoms out at k = 5 and Calinski-Harabasz peaks at k = 2.</w:t>
      </w:r>
    </w:p>
    <w:p>
      <w:pPr>
        <w:pStyle w:val="Heading2"/>
      </w:pPr>
      <w:r>
        <w:t>6.1 The indices disagree, and that is the finding</w:t>
      </w:r>
    </w:p>
    <w:p>
      <w:r>
        <w:rPr>
          <w:i w:val="0"/>
        </w:rPr>
        <w:t>Silhouette prefers k = 3, Davies-Bouldin prefers k = 5 and Calinski-Harabasz prefers k = 2. No rule arbitrates between them, because they are not measuring the same property: silhouette compares each point with the nearest rival cluster, Davies-Bouldin compares cluster spread with cluster separation, and Calinski-Harabasz is a global between-over-within ratio that tends to favour small k.</w:t>
      </w:r>
    </w:p>
    <w:p>
      <w:r>
        <w:rPr>
          <w:i w:val="0"/>
        </w:rPr>
        <w:t>k = 3 is used for the rest of the report. The reasons are explicit: silhouette peaks there (0.162), the elbow agrees — the largest single drop in inertia occurs moving to k = 3 — and three segments are few enough to describe and reason about. This is a defensible judgement, not a derived fact, and it is recorded as such.</w:t>
      </w:r>
    </w:p>
    <w:tbl>
      <w:tblPr>
        <w:tblW w:type="auto" w:w="0"/>
        <w:jc w:val="center"/>
        <w:tblLayout w:type="fixed"/>
        <w:tblLook w:firstColumn="1" w:firstRow="1" w:lastColumn="0" w:lastRow="0" w:noHBand="0" w:noVBand="1" w:val="04A0"/>
      </w:tblPr>
      <w:tblGrid>
        <w:gridCol w:w="9764"/>
      </w:tblGrid>
      <w:tr>
        <w:tc>
          <w:tcPr>
            <w:tcW w:type="dxa" w:w="9432"/>
            <w:shd w:fill="F8ECE7"/>
          </w:tcPr>
          <w:p>
            <w:pPr>
              <w:spacing w:before="120" w:after="40"/>
              <w:jc w:val="left"/>
            </w:pPr>
            <w:r/>
            <w:r>
              <w:rPr>
                <w:b/>
                <w:color w:val="C4664D"/>
                <w:sz w:val="19"/>
              </w:rPr>
              <w:t>The absolute value matters more than the ranking</w:t>
            </w:r>
          </w:p>
          <w:p>
            <w:pPr>
              <w:spacing w:after="120"/>
              <w:jc w:val="left"/>
            </w:pPr>
            <w:r>
              <w:rPr>
                <w:sz w:val="18"/>
              </w:rPr>
              <w:t>A silhouette of 0.162 is low. Scores below roughly 0.25 indicate overlapping, poorly separated clusters, and this dataset sits well inside that range. The best of eight values is still a weak segmentation — the ranking identifies the least-bad choice, not a strong one.</w:t>
            </w:r>
          </w:p>
        </w:tc>
      </w:tr>
    </w:tbl>
    <w:p>
      <w:pPr>
        <w:spacing w:after="40"/>
      </w:pPr>
    </w:p>
    <w:p>
      <w:pPr>
        <w:pStyle w:val="Heading1"/>
      </w:pPr>
      <w:r>
        <w:t>7. K-Means cluster profiles</w:t>
      </w:r>
    </w:p>
    <w:p>
      <w:r>
        <w:rPr>
          <w:i w:val="0"/>
        </w:rPr>
        <w:t>With k = 3 and 50 random restarts, K-Means converges to a solution with an inertia of 11,023.1. A cluster is only useful if it can be described, so each one is profiled on the original, unstandardised features.</w:t>
      </w:r>
    </w:p>
    <w:tbl>
      <w:tblPr>
        <w:tblStyle w:val="TableGrid"/>
        <w:tblW w:type="auto" w:w="0"/>
        <w:jc w:val="center"/>
        <w:tblLayout w:type="fixed"/>
        <w:tblLook w:firstColumn="1" w:firstRow="1" w:lastColumn="0" w:lastRow="0" w:noHBand="0" w:noVBand="1" w:val="04A0"/>
      </w:tblPr>
      <w:tblGrid>
        <w:gridCol w:w="1220"/>
        <w:gridCol w:w="1220"/>
        <w:gridCol w:w="1220"/>
        <w:gridCol w:w="1220"/>
        <w:gridCol w:w="1220"/>
        <w:gridCol w:w="1220"/>
        <w:gridCol w:w="1220"/>
        <w:gridCol w:w="1220"/>
      </w:tblGrid>
      <w:tr>
        <w:trPr>
          <w:tblHeader w:val="true"/>
          <w:cantSplit w:val="true"/>
        </w:trPr>
        <w:tc>
          <w:tcPr>
            <w:tcW w:type="dxa" w:w="504"/>
            <w:vAlign w:val="center"/>
            <w:shd w:fill="17324D"/>
          </w:tcPr>
          <w:p>
            <w:pPr>
              <w:spacing w:after="40" w:before="40"/>
            </w:pPr>
            <w:r/>
            <w:r>
              <w:rPr>
                <w:b/>
                <w:color w:val="FFFFFF"/>
                <w:sz w:val="17"/>
              </w:rPr>
              <w:t>#</w:t>
            </w:r>
          </w:p>
        </w:tc>
        <w:tc>
          <w:tcPr>
            <w:tcW w:type="dxa" w:w="2477"/>
            <w:vAlign w:val="center"/>
            <w:shd w:fill="17324D"/>
          </w:tcPr>
          <w:p>
            <w:pPr>
              <w:spacing w:after="40" w:before="40"/>
            </w:pPr>
            <w:r/>
            <w:r>
              <w:rPr>
                <w:b/>
                <w:color w:val="FFFFFF"/>
                <w:sz w:val="17"/>
              </w:rPr>
              <w:t>Segment</w:t>
            </w:r>
          </w:p>
        </w:tc>
        <w:tc>
          <w:tcPr>
            <w:tcW w:type="dxa" w:w="1440"/>
            <w:vAlign w:val="center"/>
            <w:shd w:fill="17324D"/>
          </w:tcPr>
          <w:p>
            <w:pPr>
              <w:spacing w:after="40" w:before="40"/>
            </w:pPr>
            <w:r/>
            <w:r>
              <w:rPr>
                <w:b/>
                <w:color w:val="FFFFFF"/>
                <w:sz w:val="17"/>
              </w:rPr>
              <w:t>Customers</w:t>
            </w:r>
          </w:p>
        </w:tc>
        <w:tc>
          <w:tcPr>
            <w:tcW w:type="dxa" w:w="1123"/>
            <w:vAlign w:val="center"/>
            <w:shd w:fill="17324D"/>
          </w:tcPr>
          <w:p>
            <w:pPr>
              <w:spacing w:after="40" w:before="40"/>
            </w:pPr>
            <w:r/>
            <w:r>
              <w:rPr>
                <w:b/>
                <w:color w:val="FFFFFF"/>
                <w:sz w:val="17"/>
              </w:rPr>
              <w:t>Share</w:t>
            </w:r>
          </w:p>
        </w:tc>
        <w:tc>
          <w:tcPr>
            <w:tcW w:type="dxa" w:w="1123"/>
            <w:vAlign w:val="center"/>
            <w:shd w:fill="17324D"/>
          </w:tcPr>
          <w:p>
            <w:pPr>
              <w:spacing w:after="40" w:before="40"/>
            </w:pPr>
            <w:r/>
            <w:r>
              <w:rPr>
                <w:b/>
                <w:color w:val="FFFFFF"/>
                <w:sz w:val="17"/>
              </w:rPr>
              <w:t>Tenure</w:t>
            </w:r>
          </w:p>
        </w:tc>
        <w:tc>
          <w:tcPr>
            <w:tcW w:type="dxa" w:w="1238"/>
            <w:vAlign w:val="center"/>
            <w:shd w:fill="17324D"/>
          </w:tcPr>
          <w:p>
            <w:pPr>
              <w:spacing w:after="40" w:before="40"/>
            </w:pPr>
            <w:r/>
            <w:r>
              <w:rPr>
                <w:b/>
                <w:color w:val="FFFFFF"/>
                <w:sz w:val="17"/>
              </w:rPr>
              <w:t>Monthly</w:t>
            </w:r>
          </w:p>
        </w:tc>
        <w:tc>
          <w:tcPr>
            <w:tcW w:type="dxa" w:w="1368"/>
            <w:vAlign w:val="center"/>
            <w:shd w:fill="17324D"/>
          </w:tcPr>
          <w:p>
            <w:pPr>
              <w:spacing w:after="40" w:before="40"/>
            </w:pPr>
            <w:r/>
            <w:r>
              <w:rPr>
                <w:b/>
                <w:color w:val="FFFFFF"/>
                <w:sz w:val="17"/>
              </w:rPr>
              <w:t>Total</w:t>
            </w:r>
          </w:p>
        </w:tc>
        <w:tc>
          <w:tcPr>
            <w:tcW w:type="dxa" w:w="1080"/>
            <w:vAlign w:val="center"/>
            <w:shd w:fill="17324D"/>
          </w:tcPr>
          <w:p>
            <w:pPr>
              <w:spacing w:after="40" w:before="40"/>
            </w:pPr>
            <w:r/>
            <w:r>
              <w:rPr>
                <w:b/>
                <w:color w:val="FFFFFF"/>
                <w:sz w:val="17"/>
              </w:rPr>
              <w:t>Churn</w:t>
            </w:r>
          </w:p>
        </w:tc>
      </w:tr>
      <w:tr>
        <w:trPr>
          <w:cantSplit w:val="true"/>
        </w:trPr>
        <w:tc>
          <w:tcPr>
            <w:tcW w:type="dxa" w:w="504"/>
            <w:vAlign w:val="center"/>
          </w:tcPr>
          <w:p>
            <w:pPr>
              <w:spacing w:after="40" w:before="40"/>
            </w:pPr>
            <w:r/>
            <w:r>
              <w:rPr>
                <w:sz w:val="17"/>
              </w:rPr>
              <w:t>1</w:t>
            </w:r>
          </w:p>
        </w:tc>
        <w:tc>
          <w:tcPr>
            <w:tcW w:type="dxa" w:w="2477"/>
            <w:vAlign w:val="center"/>
          </w:tcPr>
          <w:p>
            <w:pPr>
              <w:spacing w:after="40" w:before="40"/>
            </w:pPr>
            <w:r/>
            <w:r>
              <w:rPr>
                <w:sz w:val="17"/>
              </w:rPr>
              <w:t>Short-tenure, low-spend</w:t>
            </w:r>
          </w:p>
        </w:tc>
        <w:tc>
          <w:tcPr>
            <w:tcW w:type="dxa" w:w="1440"/>
            <w:vAlign w:val="center"/>
          </w:tcPr>
          <w:p>
            <w:pPr>
              <w:spacing w:after="40" w:before="40"/>
              <w:jc w:val="right"/>
            </w:pPr>
            <w:r/>
            <w:r>
              <w:rPr>
                <w:sz w:val="17"/>
              </w:rPr>
              <w:t>797</w:t>
            </w:r>
          </w:p>
        </w:tc>
        <w:tc>
          <w:tcPr>
            <w:tcW w:type="dxa" w:w="1123"/>
            <w:vAlign w:val="center"/>
          </w:tcPr>
          <w:p>
            <w:pPr>
              <w:spacing w:after="40" w:before="40"/>
              <w:jc w:val="right"/>
            </w:pPr>
            <w:r/>
            <w:r>
              <w:rPr>
                <w:sz w:val="17"/>
              </w:rPr>
              <w:t>44.3%</w:t>
            </w:r>
          </w:p>
        </w:tc>
        <w:tc>
          <w:tcPr>
            <w:tcW w:type="dxa" w:w="1123"/>
            <w:vAlign w:val="center"/>
          </w:tcPr>
          <w:p>
            <w:pPr>
              <w:spacing w:after="40" w:before="40"/>
              <w:jc w:val="right"/>
            </w:pPr>
            <w:r/>
            <w:r>
              <w:rPr>
                <w:sz w:val="17"/>
              </w:rPr>
              <w:t>27.8</w:t>
            </w:r>
          </w:p>
        </w:tc>
        <w:tc>
          <w:tcPr>
            <w:tcW w:type="dxa" w:w="1238"/>
            <w:vAlign w:val="center"/>
          </w:tcPr>
          <w:p>
            <w:pPr>
              <w:spacing w:after="40" w:before="40"/>
              <w:jc w:val="right"/>
            </w:pPr>
            <w:r/>
            <w:r>
              <w:rPr>
                <w:sz w:val="17"/>
              </w:rPr>
              <w:t>48.8</w:t>
            </w:r>
          </w:p>
        </w:tc>
        <w:tc>
          <w:tcPr>
            <w:tcW w:type="dxa" w:w="1368"/>
            <w:vAlign w:val="center"/>
          </w:tcPr>
          <w:p>
            <w:pPr>
              <w:spacing w:after="40" w:before="40"/>
              <w:jc w:val="right"/>
            </w:pPr>
            <w:r/>
            <w:r>
              <w:rPr>
                <w:sz w:val="17"/>
              </w:rPr>
              <w:t>1,172</w:t>
            </w:r>
          </w:p>
        </w:tc>
        <w:tc>
          <w:tcPr>
            <w:tcW w:type="dxa" w:w="1080"/>
            <w:vAlign w:val="center"/>
          </w:tcPr>
          <w:p>
            <w:pPr>
              <w:spacing w:after="40" w:before="40"/>
              <w:jc w:val="right"/>
            </w:pPr>
            <w:r/>
            <w:r>
              <w:rPr>
                <w:sz w:val="17"/>
              </w:rPr>
              <w:t>21.8%</w:t>
            </w:r>
          </w:p>
        </w:tc>
      </w:tr>
      <w:tr>
        <w:trPr>
          <w:cantSplit w:val="true"/>
        </w:trPr>
        <w:tc>
          <w:tcPr>
            <w:tcW w:type="dxa" w:w="504"/>
            <w:vAlign w:val="center"/>
            <w:shd w:fill="F1F5F9"/>
          </w:tcPr>
          <w:p>
            <w:pPr>
              <w:spacing w:after="40" w:before="40"/>
            </w:pPr>
            <w:r/>
            <w:r>
              <w:rPr>
                <w:sz w:val="17"/>
              </w:rPr>
              <w:t>0</w:t>
            </w:r>
          </w:p>
        </w:tc>
        <w:tc>
          <w:tcPr>
            <w:tcW w:type="dxa" w:w="2477"/>
            <w:vAlign w:val="center"/>
            <w:shd w:fill="F1F5F9"/>
          </w:tcPr>
          <w:p>
            <w:pPr>
              <w:spacing w:after="40" w:before="40"/>
            </w:pPr>
            <w:r/>
            <w:r>
              <w:rPr>
                <w:sz w:val="17"/>
              </w:rPr>
              <w:t>Long-tenure, high-spend</w:t>
            </w:r>
          </w:p>
        </w:tc>
        <w:tc>
          <w:tcPr>
            <w:tcW w:type="dxa" w:w="1440"/>
            <w:vAlign w:val="center"/>
            <w:shd w:fill="F1F5F9"/>
          </w:tcPr>
          <w:p>
            <w:pPr>
              <w:spacing w:after="40" w:before="40"/>
              <w:jc w:val="right"/>
            </w:pPr>
            <w:r/>
            <w:r>
              <w:rPr>
                <w:sz w:val="17"/>
              </w:rPr>
              <w:t>685</w:t>
            </w:r>
          </w:p>
        </w:tc>
        <w:tc>
          <w:tcPr>
            <w:tcW w:type="dxa" w:w="1123"/>
            <w:vAlign w:val="center"/>
            <w:shd w:fill="F1F5F9"/>
          </w:tcPr>
          <w:p>
            <w:pPr>
              <w:spacing w:after="40" w:before="40"/>
              <w:jc w:val="right"/>
            </w:pPr>
            <w:r/>
            <w:r>
              <w:rPr>
                <w:sz w:val="17"/>
              </w:rPr>
              <w:t>38.1%</w:t>
            </w:r>
          </w:p>
        </w:tc>
        <w:tc>
          <w:tcPr>
            <w:tcW w:type="dxa" w:w="1123"/>
            <w:vAlign w:val="center"/>
            <w:shd w:fill="F1F5F9"/>
          </w:tcPr>
          <w:p>
            <w:pPr>
              <w:spacing w:after="40" w:before="40"/>
              <w:jc w:val="right"/>
            </w:pPr>
            <w:r/>
            <w:r>
              <w:rPr>
                <w:sz w:val="17"/>
              </w:rPr>
              <w:t>48.3</w:t>
            </w:r>
          </w:p>
        </w:tc>
        <w:tc>
          <w:tcPr>
            <w:tcW w:type="dxa" w:w="1238"/>
            <w:vAlign w:val="center"/>
            <w:shd w:fill="F1F5F9"/>
          </w:tcPr>
          <w:p>
            <w:pPr>
              <w:spacing w:after="40" w:before="40"/>
              <w:jc w:val="right"/>
            </w:pPr>
            <w:r/>
            <w:r>
              <w:rPr>
                <w:sz w:val="17"/>
              </w:rPr>
              <w:t>73.5</w:t>
            </w:r>
          </w:p>
        </w:tc>
        <w:tc>
          <w:tcPr>
            <w:tcW w:type="dxa" w:w="1368"/>
            <w:vAlign w:val="center"/>
            <w:shd w:fill="F1F5F9"/>
          </w:tcPr>
          <w:p>
            <w:pPr>
              <w:spacing w:after="40" w:before="40"/>
              <w:jc w:val="right"/>
            </w:pPr>
            <w:r/>
            <w:r>
              <w:rPr>
                <w:sz w:val="17"/>
              </w:rPr>
              <w:t>3,459</w:t>
            </w:r>
          </w:p>
        </w:tc>
        <w:tc>
          <w:tcPr>
            <w:tcW w:type="dxa" w:w="1080"/>
            <w:vAlign w:val="center"/>
            <w:shd w:fill="F1F5F9"/>
          </w:tcPr>
          <w:p>
            <w:pPr>
              <w:spacing w:after="40" w:before="40"/>
              <w:jc w:val="right"/>
            </w:pPr>
            <w:r/>
            <w:r>
              <w:rPr>
                <w:sz w:val="17"/>
              </w:rPr>
              <w:t>30.4%</w:t>
            </w:r>
          </w:p>
        </w:tc>
      </w:tr>
      <w:tr>
        <w:trPr>
          <w:cantSplit w:val="true"/>
        </w:trPr>
        <w:tc>
          <w:tcPr>
            <w:tcW w:type="dxa" w:w="504"/>
            <w:vAlign w:val="center"/>
          </w:tcPr>
          <w:p>
            <w:pPr>
              <w:spacing w:after="40" w:before="40"/>
            </w:pPr>
            <w:r/>
            <w:r>
              <w:rPr>
                <w:sz w:val="17"/>
              </w:rPr>
              <w:t>2</w:t>
            </w:r>
          </w:p>
        </w:tc>
        <w:tc>
          <w:tcPr>
            <w:tcW w:type="dxa" w:w="2477"/>
            <w:vAlign w:val="center"/>
          </w:tcPr>
          <w:p>
            <w:pPr>
              <w:spacing w:after="40" w:before="40"/>
            </w:pPr>
            <w:r/>
            <w:r>
              <w:rPr>
                <w:sz w:val="17"/>
              </w:rPr>
              <w:t>Senior segment</w:t>
            </w:r>
          </w:p>
        </w:tc>
        <w:tc>
          <w:tcPr>
            <w:tcW w:type="dxa" w:w="1440"/>
            <w:vAlign w:val="center"/>
          </w:tcPr>
          <w:p>
            <w:pPr>
              <w:spacing w:after="40" w:before="40"/>
              <w:jc w:val="right"/>
            </w:pPr>
            <w:r/>
            <w:r>
              <w:rPr>
                <w:sz w:val="17"/>
              </w:rPr>
              <w:t>318</w:t>
            </w:r>
          </w:p>
        </w:tc>
        <w:tc>
          <w:tcPr>
            <w:tcW w:type="dxa" w:w="1123"/>
            <w:vAlign w:val="center"/>
          </w:tcPr>
          <w:p>
            <w:pPr>
              <w:spacing w:after="40" w:before="40"/>
              <w:jc w:val="right"/>
            </w:pPr>
            <w:r/>
            <w:r>
              <w:rPr>
                <w:sz w:val="17"/>
              </w:rPr>
              <w:t>17.7%</w:t>
            </w:r>
          </w:p>
        </w:tc>
        <w:tc>
          <w:tcPr>
            <w:tcW w:type="dxa" w:w="1123"/>
            <w:vAlign w:val="center"/>
          </w:tcPr>
          <w:p>
            <w:pPr>
              <w:spacing w:after="40" w:before="40"/>
              <w:jc w:val="right"/>
            </w:pPr>
            <w:r/>
            <w:r>
              <w:rPr>
                <w:sz w:val="17"/>
              </w:rPr>
              <w:t>37.2</w:t>
            </w:r>
          </w:p>
        </w:tc>
        <w:tc>
          <w:tcPr>
            <w:tcW w:type="dxa" w:w="1238"/>
            <w:vAlign w:val="center"/>
          </w:tcPr>
          <w:p>
            <w:pPr>
              <w:spacing w:after="40" w:before="40"/>
              <w:jc w:val="right"/>
            </w:pPr>
            <w:r/>
            <w:r>
              <w:rPr>
                <w:sz w:val="17"/>
              </w:rPr>
              <w:t>62.8</w:t>
            </w:r>
          </w:p>
        </w:tc>
        <w:tc>
          <w:tcPr>
            <w:tcW w:type="dxa" w:w="1368"/>
            <w:vAlign w:val="center"/>
          </w:tcPr>
          <w:p>
            <w:pPr>
              <w:spacing w:after="40" w:before="40"/>
              <w:jc w:val="right"/>
            </w:pPr>
            <w:r/>
            <w:r>
              <w:rPr>
                <w:sz w:val="17"/>
              </w:rPr>
              <w:t>2,256</w:t>
            </w:r>
          </w:p>
        </w:tc>
        <w:tc>
          <w:tcPr>
            <w:tcW w:type="dxa" w:w="1080"/>
            <w:vAlign w:val="center"/>
          </w:tcPr>
          <w:p>
            <w:pPr>
              <w:spacing w:after="40" w:before="40"/>
              <w:jc w:val="right"/>
            </w:pPr>
            <w:r/>
            <w:r>
              <w:rPr>
                <w:sz w:val="17"/>
              </w:rPr>
              <w:t>30.8%</w:t>
            </w:r>
          </w:p>
        </w:tc>
      </w:tr>
    </w:tbl>
    <w:p>
      <w:pPr>
        <w:spacing w:after="40" w:before="0"/>
      </w:pPr>
    </w:p>
    <w:p>
      <w:pPr>
        <w:spacing w:before="80" w:after="40"/>
        <w:jc w:val="center"/>
      </w:pPr>
      <w:r>
        <w:drawing>
          <wp:inline xmlns:a="http://schemas.openxmlformats.org/drawingml/2006/main" xmlns:pic="http://schemas.openxmlformats.org/drawingml/2006/picture">
            <wp:extent cx="5669280" cy="1966224"/>
            <wp:docPr id="5" name="Picture 5"/>
            <wp:cNvGraphicFramePr>
              <a:graphicFrameLocks noChangeAspect="1"/>
            </wp:cNvGraphicFramePr>
            <a:graphic>
              <a:graphicData uri="http://schemas.openxmlformats.org/drawingml/2006/picture">
                <pic:pic>
                  <pic:nvPicPr>
                    <pic:cNvPr id="0" name="04_cluster_overview.png"/>
                    <pic:cNvPicPr/>
                  </pic:nvPicPr>
                  <pic:blipFill>
                    <a:blip r:embed="rId15"/>
                    <a:stretch>
                      <a:fillRect/>
                    </a:stretch>
                  </pic:blipFill>
                  <pic:spPr>
                    <a:xfrm>
                      <a:off x="0" y="0"/>
                      <a:ext cx="5669280" cy="1966224"/>
                    </a:xfrm>
                    <a:prstGeom prst="rect"/>
                  </pic:spPr>
                </pic:pic>
              </a:graphicData>
            </a:graphic>
          </wp:inline>
        </w:drawing>
      </w:r>
    </w:p>
    <w:p>
      <w:pPr>
        <w:spacing w:before="40" w:after="200"/>
        <w:jc w:val="center"/>
      </w:pPr>
      <w:r>
        <w:rPr>
          <w:i/>
          <w:color w:val="7A8794"/>
          <w:sz w:val="16"/>
        </w:rPr>
        <w:t>Figure 5 — Cluster sizes (left) and churn rate within each segment (right). The dashed line is the overall churn rate; no segment departs from it by much.</w:t>
      </w:r>
    </w:p>
    <w:p>
      <w:pPr>
        <w:spacing w:before="80" w:after="40"/>
        <w:jc w:val="center"/>
      </w:pPr>
      <w:r>
        <w:drawing>
          <wp:inline xmlns:a="http://schemas.openxmlformats.org/drawingml/2006/main" xmlns:pic="http://schemas.openxmlformats.org/drawingml/2006/picture">
            <wp:extent cx="5760720" cy="2572685"/>
            <wp:docPr id="6" name="Picture 6"/>
            <wp:cNvGraphicFramePr>
              <a:graphicFrameLocks noChangeAspect="1"/>
            </wp:cNvGraphicFramePr>
            <a:graphic>
              <a:graphicData uri="http://schemas.openxmlformats.org/drawingml/2006/picture">
                <pic:pic>
                  <pic:nvPicPr>
                    <pic:cNvPr id="0" name="07_cluster_profiles.png"/>
                    <pic:cNvPicPr/>
                  </pic:nvPicPr>
                  <pic:blipFill>
                    <a:blip r:embed="rId16"/>
                    <a:stretch>
                      <a:fillRect/>
                    </a:stretch>
                  </pic:blipFill>
                  <pic:spPr>
                    <a:xfrm>
                      <a:off x="0" y="0"/>
                      <a:ext cx="5760720" cy="2572685"/>
                    </a:xfrm>
                    <a:prstGeom prst="rect"/>
                  </pic:spPr>
                </pic:pic>
              </a:graphicData>
            </a:graphic>
          </wp:inline>
        </w:drawing>
      </w:r>
    </w:p>
    <w:p>
      <w:pPr>
        <w:spacing w:before="40" w:after="200"/>
        <w:jc w:val="center"/>
      </w:pPr>
      <w:r>
        <w:rPr>
          <w:i/>
          <w:color w:val="7A8794"/>
          <w:sz w:val="16"/>
        </w:rPr>
        <w:t>Figure 6 — Cluster profiles for K-Means and Ward side by side. Cell shading is the z-score within each column; the printed number is the raw mean in original units.</w:t>
      </w:r>
    </w:p>
    <w:p>
      <w:r>
        <w:rPr>
          <w:i w:val="0"/>
        </w:rPr>
        <w:t>Two of the three segments form a straightforward axis. The group of 797 customers has a mean tenure of 27.8 months and spends 48.80 per month — recent, low-value customers. The group of 685 has been present for 48.3 months and spends 73.53 — established and high-value. That axis is exactly PC1 from Section 5, found again without being asked for.</w:t>
      </w:r>
    </w:p>
    <w:p>
      <w:pPr>
        <w:pStyle w:val="Heading2"/>
      </w:pPr>
      <w:r>
        <w:t>7.1 The segment nobody labelled</w:t>
      </w: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jc w:val="left"/>
            </w:pPr>
            <w:r/>
            <w:r>
              <w:rPr>
                <w:b/>
                <w:color w:val="237A7A"/>
                <w:sz w:val="19"/>
              </w:rPr>
              <w:t>An unlabelled category made itself a cluster</w:t>
            </w:r>
          </w:p>
          <w:p>
            <w:pPr>
              <w:spacing w:after="120"/>
              <w:jc w:val="left"/>
            </w:pPr>
            <w:r>
              <w:rPr>
                <w:sz w:val="18"/>
              </w:rPr>
              <w:t>Cluster 2 contains 318 customers — 17.7% of the data — and the mean of its senior_citizen flag is 1.00. In other words it contains essentially every senior citizen in the dataset and almost nobody else. K-Means was never told the column existed. It found the group because those customers differ consistently in tenure, monthly charges and total charges as well, and the distance metric picked that up.</w:t>
            </w:r>
          </w:p>
        </w:tc>
      </w:tr>
    </w:tbl>
    <w:p>
      <w:pPr>
        <w:spacing w:after="40"/>
      </w:pPr>
    </w:p>
    <w:p>
      <w:r>
        <w:rPr>
          <w:i w:val="0"/>
        </w:rPr>
        <w:t>The third segment, cluster 2, sits between the other two on every numeric feature and coincides with the senior customers. It is a reminder that a cluster label is a description, not an explanation: 'senior segment' is accurate for this group, but the reason those customers are separable is a pattern across several columns at once, of which the senior flag is only one.</w:t>
      </w:r>
    </w:p>
    <w:p>
      <w:pPr>
        <w:pStyle w:val="Heading1"/>
      </w:pPr>
      <w:r>
        <w:t>8. Hierarchical clustering</w:t>
      </w:r>
    </w:p>
    <w:p>
      <w:r>
        <w:rPr>
          <w:i w:val="0"/>
        </w:rPr>
        <w:t>Agglomerative clustering begins with every record in its own cluster and repeatedly merges the two closest, producing a tree. Because the whole merge history is retained, k can be chosen after the structure is visible rather than before. The price is that the result depends heavily on what 'closest' means.</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1368"/>
            <w:vAlign w:val="center"/>
            <w:shd w:fill="17324D"/>
          </w:tcPr>
          <w:p>
            <w:pPr>
              <w:spacing w:after="40" w:before="40"/>
            </w:pPr>
            <w:r/>
            <w:r>
              <w:rPr>
                <w:b/>
                <w:color w:val="FFFFFF"/>
                <w:sz w:val="17"/>
              </w:rPr>
              <w:t>Linkage</w:t>
            </w:r>
          </w:p>
        </w:tc>
        <w:tc>
          <w:tcPr>
            <w:tcW w:type="dxa" w:w="3773"/>
            <w:vAlign w:val="center"/>
            <w:shd w:fill="17324D"/>
          </w:tcPr>
          <w:p>
            <w:pPr>
              <w:spacing w:after="40" w:before="40"/>
            </w:pPr>
            <w:r/>
            <w:r>
              <w:rPr>
                <w:b/>
                <w:color w:val="FFFFFF"/>
                <w:sz w:val="17"/>
              </w:rPr>
              <w:t>Distance between clusters</w:t>
            </w:r>
          </w:p>
        </w:tc>
        <w:tc>
          <w:tcPr>
            <w:tcW w:type="dxa" w:w="4291"/>
            <w:vAlign w:val="center"/>
            <w:shd w:fill="17324D"/>
          </w:tcPr>
          <w:p>
            <w:pPr>
              <w:spacing w:after="40" w:before="40"/>
            </w:pPr>
            <w:r/>
            <w:r>
              <w:rPr>
                <w:b/>
                <w:color w:val="FFFFFF"/>
                <w:sz w:val="17"/>
              </w:rPr>
              <w:t>Tendency</w:t>
            </w:r>
          </w:p>
        </w:tc>
      </w:tr>
      <w:tr>
        <w:trPr>
          <w:cantSplit w:val="true"/>
        </w:trPr>
        <w:tc>
          <w:tcPr>
            <w:tcW w:type="dxa" w:w="1368"/>
            <w:vAlign w:val="center"/>
          </w:tcPr>
          <w:p>
            <w:pPr>
              <w:spacing w:after="40" w:before="40"/>
            </w:pPr>
            <w:r/>
            <w:r>
              <w:rPr>
                <w:sz w:val="17"/>
              </w:rPr>
              <w:t>ward</w:t>
            </w:r>
          </w:p>
        </w:tc>
        <w:tc>
          <w:tcPr>
            <w:tcW w:type="dxa" w:w="3773"/>
            <w:vAlign w:val="center"/>
          </w:tcPr>
          <w:p>
            <w:pPr>
              <w:spacing w:after="40" w:before="40"/>
            </w:pPr>
            <w:r/>
            <w:r>
              <w:rPr>
                <w:sz w:val="17"/>
              </w:rPr>
              <w:t>Increase in total within-cluster variance</w:t>
            </w:r>
          </w:p>
        </w:tc>
        <w:tc>
          <w:tcPr>
            <w:tcW w:type="dxa" w:w="4291"/>
            <w:vAlign w:val="center"/>
          </w:tcPr>
          <w:p>
            <w:pPr>
              <w:spacing w:after="40" w:before="40"/>
            </w:pPr>
            <w:r/>
            <w:r>
              <w:rPr>
                <w:sz w:val="17"/>
              </w:rPr>
              <w:t>Compact, roughly equal-sized clusters</w:t>
            </w:r>
          </w:p>
        </w:tc>
      </w:tr>
      <w:tr>
        <w:trPr>
          <w:cantSplit w:val="true"/>
        </w:trPr>
        <w:tc>
          <w:tcPr>
            <w:tcW w:type="dxa" w:w="1368"/>
            <w:vAlign w:val="center"/>
            <w:shd w:fill="F1F5F9"/>
          </w:tcPr>
          <w:p>
            <w:pPr>
              <w:spacing w:after="40" w:before="40"/>
            </w:pPr>
            <w:r/>
            <w:r>
              <w:rPr>
                <w:sz w:val="17"/>
              </w:rPr>
              <w:t>complete</w:t>
            </w:r>
          </w:p>
        </w:tc>
        <w:tc>
          <w:tcPr>
            <w:tcW w:type="dxa" w:w="3773"/>
            <w:vAlign w:val="center"/>
            <w:shd w:fill="F1F5F9"/>
          </w:tcPr>
          <w:p>
            <w:pPr>
              <w:spacing w:after="40" w:before="40"/>
            </w:pPr>
            <w:r/>
            <w:r>
              <w:rPr>
                <w:sz w:val="17"/>
              </w:rPr>
              <w:t>Farthest pair of points between clusters</w:t>
            </w:r>
          </w:p>
        </w:tc>
        <w:tc>
          <w:tcPr>
            <w:tcW w:type="dxa" w:w="4291"/>
            <w:vAlign w:val="center"/>
            <w:shd w:fill="F1F5F9"/>
          </w:tcPr>
          <w:p>
            <w:pPr>
              <w:spacing w:after="40" w:before="40"/>
            </w:pPr>
            <w:r/>
            <w:r>
              <w:rPr>
                <w:sz w:val="17"/>
              </w:rPr>
              <w:t>Tends to produce compact clusters</w:t>
            </w:r>
          </w:p>
        </w:tc>
      </w:tr>
      <w:tr>
        <w:trPr>
          <w:cantSplit w:val="true"/>
        </w:trPr>
        <w:tc>
          <w:tcPr>
            <w:tcW w:type="dxa" w:w="1368"/>
            <w:vAlign w:val="center"/>
          </w:tcPr>
          <w:p>
            <w:pPr>
              <w:spacing w:after="40" w:before="40"/>
            </w:pPr>
            <w:r/>
            <w:r>
              <w:rPr>
                <w:sz w:val="17"/>
              </w:rPr>
              <w:t>average</w:t>
            </w:r>
          </w:p>
        </w:tc>
        <w:tc>
          <w:tcPr>
            <w:tcW w:type="dxa" w:w="3773"/>
            <w:vAlign w:val="center"/>
          </w:tcPr>
          <w:p>
            <w:pPr>
              <w:spacing w:after="40" w:before="40"/>
            </w:pPr>
            <w:r/>
            <w:r>
              <w:rPr>
                <w:sz w:val="17"/>
              </w:rPr>
              <w:t>Mean distance over all pairs</w:t>
            </w:r>
          </w:p>
        </w:tc>
        <w:tc>
          <w:tcPr>
            <w:tcW w:type="dxa" w:w="4291"/>
            <w:vAlign w:val="center"/>
          </w:tcPr>
          <w:p>
            <w:pPr>
              <w:spacing w:after="40" w:before="40"/>
            </w:pPr>
            <w:r/>
            <w:r>
              <w:rPr>
                <w:sz w:val="17"/>
              </w:rPr>
              <w:t>Sensitive to cluster shape</w:t>
            </w:r>
          </w:p>
        </w:tc>
      </w:tr>
      <w:tr>
        <w:trPr>
          <w:cantSplit w:val="true"/>
        </w:trPr>
        <w:tc>
          <w:tcPr>
            <w:tcW w:type="dxa" w:w="1368"/>
            <w:vAlign w:val="center"/>
            <w:shd w:fill="F1F5F9"/>
          </w:tcPr>
          <w:p>
            <w:pPr>
              <w:spacing w:after="40" w:before="40"/>
            </w:pPr>
            <w:r/>
            <w:r>
              <w:rPr>
                <w:sz w:val="17"/>
              </w:rPr>
              <w:t>single</w:t>
            </w:r>
          </w:p>
        </w:tc>
        <w:tc>
          <w:tcPr>
            <w:tcW w:type="dxa" w:w="3773"/>
            <w:vAlign w:val="center"/>
            <w:shd w:fill="F1F5F9"/>
          </w:tcPr>
          <w:p>
            <w:pPr>
              <w:spacing w:after="40" w:before="40"/>
            </w:pPr>
            <w:r/>
            <w:r>
              <w:rPr>
                <w:sz w:val="17"/>
              </w:rPr>
              <w:t>Closest pair of points</w:t>
            </w:r>
          </w:p>
        </w:tc>
        <w:tc>
          <w:tcPr>
            <w:tcW w:type="dxa" w:w="4291"/>
            <w:vAlign w:val="center"/>
            <w:shd w:fill="F1F5F9"/>
          </w:tcPr>
          <w:p>
            <w:pPr>
              <w:spacing w:after="40" w:before="40"/>
            </w:pPr>
            <w:r/>
            <w:r>
              <w:rPr>
                <w:sz w:val="17"/>
              </w:rPr>
              <w:t>Follows chains; prone to singleton clusters</w:t>
            </w:r>
          </w:p>
        </w:tc>
      </w:tr>
    </w:tbl>
    <w:p>
      <w:pPr>
        <w:spacing w:after="40" w:before="0"/>
      </w:pPr>
    </w:p>
    <w:p>
      <w:r>
        <w:rPr>
          <w:i w:val="0"/>
        </w:rPr>
        <w:t>Every linkage is run for k = 2 to 5 and scored on the same silhouette measure used above, together with the size of the smallest cluster it produces.</w:t>
      </w:r>
    </w:p>
    <w:tbl>
      <w:tblPr>
        <w:tblStyle w:val="TableGrid"/>
        <w:tblW w:type="auto" w:w="0"/>
        <w:jc w:val="center"/>
        <w:tblLayout w:type="fixed"/>
        <w:tblLook w:firstColumn="1" w:firstRow="1" w:lastColumn="0" w:lastRow="0" w:noHBand="0" w:noVBand="1" w:val="04A0"/>
      </w:tblPr>
      <w:tblGrid>
        <w:gridCol w:w="1627"/>
        <w:gridCol w:w="1627"/>
        <w:gridCol w:w="1627"/>
        <w:gridCol w:w="1627"/>
        <w:gridCol w:w="1627"/>
        <w:gridCol w:w="1627"/>
      </w:tblGrid>
      <w:tr>
        <w:trPr>
          <w:tblHeader w:val="true"/>
          <w:cantSplit w:val="true"/>
        </w:trPr>
        <w:tc>
          <w:tcPr>
            <w:tcW w:type="dxa" w:w="1512"/>
            <w:vAlign w:val="center"/>
            <w:shd w:fill="17324D"/>
          </w:tcPr>
          <w:p>
            <w:pPr>
              <w:spacing w:after="40" w:before="40"/>
            </w:pPr>
            <w:r/>
            <w:r>
              <w:rPr>
                <w:b/>
                <w:color w:val="FFFFFF"/>
                <w:sz w:val="17"/>
              </w:rPr>
              <w:t>Linkage</w:t>
            </w:r>
          </w:p>
        </w:tc>
        <w:tc>
          <w:tcPr>
            <w:tcW w:type="dxa" w:w="720"/>
            <w:vAlign w:val="center"/>
            <w:shd w:fill="17324D"/>
          </w:tcPr>
          <w:p>
            <w:pPr>
              <w:spacing w:after="40" w:before="40"/>
            </w:pPr>
            <w:r/>
            <w:r>
              <w:rPr>
                <w:b/>
                <w:color w:val="FFFFFF"/>
                <w:sz w:val="17"/>
              </w:rPr>
              <w:t>k</w:t>
            </w:r>
          </w:p>
        </w:tc>
        <w:tc>
          <w:tcPr>
            <w:tcW w:type="dxa" w:w="1584"/>
            <w:vAlign w:val="center"/>
            <w:shd w:fill="17324D"/>
          </w:tcPr>
          <w:p>
            <w:pPr>
              <w:spacing w:after="40" w:before="40"/>
            </w:pPr>
            <w:r/>
            <w:r>
              <w:rPr>
                <w:b/>
                <w:color w:val="FFFFFF"/>
                <w:sz w:val="17"/>
              </w:rPr>
              <w:t>Silhouette</w:t>
            </w:r>
          </w:p>
        </w:tc>
        <w:tc>
          <w:tcPr>
            <w:tcW w:type="dxa" w:w="2088"/>
            <w:vAlign w:val="center"/>
            <w:shd w:fill="17324D"/>
          </w:tcPr>
          <w:p>
            <w:pPr>
              <w:spacing w:after="40" w:before="40"/>
            </w:pPr>
            <w:r/>
            <w:r>
              <w:rPr>
                <w:b/>
                <w:color w:val="FFFFFF"/>
                <w:sz w:val="17"/>
              </w:rPr>
              <w:t>Smallest cluster</w:t>
            </w:r>
          </w:p>
        </w:tc>
        <w:tc>
          <w:tcPr>
            <w:tcW w:type="dxa" w:w="1368"/>
            <w:vAlign w:val="center"/>
            <w:shd w:fill="17324D"/>
          </w:tcPr>
          <w:p>
            <w:pPr>
              <w:spacing w:after="40" w:before="40"/>
            </w:pPr>
            <w:r/>
            <w:r>
              <w:rPr>
                <w:b/>
                <w:color w:val="FFFFFF"/>
                <w:sz w:val="17"/>
              </w:rPr>
              <w:t>Share</w:t>
            </w:r>
          </w:p>
        </w:tc>
        <w:tc>
          <w:tcPr>
            <w:tcW w:type="dxa" w:w="1584"/>
            <w:vAlign w:val="center"/>
            <w:shd w:fill="17324D"/>
          </w:tcPr>
          <w:p>
            <w:pPr>
              <w:spacing w:after="40" w:before="40"/>
            </w:pPr>
            <w:r/>
            <w:r>
              <w:rPr>
                <w:b/>
                <w:color w:val="FFFFFF"/>
                <w:sz w:val="17"/>
              </w:rPr>
              <w:t>Degenerate</w:t>
            </w:r>
          </w:p>
        </w:tc>
      </w:tr>
      <w:tr>
        <w:trPr>
          <w:cantSplit w:val="true"/>
        </w:trPr>
        <w:tc>
          <w:tcPr>
            <w:tcW w:type="dxa" w:w="1512"/>
            <w:vAlign w:val="center"/>
          </w:tcPr>
          <w:p>
            <w:pPr>
              <w:spacing w:after="40" w:before="40"/>
            </w:pPr>
            <w:r/>
            <w:r>
              <w:rPr>
                <w:sz w:val="17"/>
              </w:rPr>
              <w:t>ward</w:t>
            </w:r>
          </w:p>
        </w:tc>
        <w:tc>
          <w:tcPr>
            <w:tcW w:type="dxa" w:w="720"/>
            <w:vAlign w:val="center"/>
          </w:tcPr>
          <w:p>
            <w:pPr>
              <w:spacing w:after="40" w:before="40"/>
              <w:jc w:val="right"/>
            </w:pPr>
            <w:r/>
            <w:r>
              <w:rPr>
                <w:sz w:val="17"/>
              </w:rPr>
              <w:t>2</w:t>
            </w:r>
          </w:p>
        </w:tc>
        <w:tc>
          <w:tcPr>
            <w:tcW w:type="dxa" w:w="1584"/>
            <w:vAlign w:val="center"/>
          </w:tcPr>
          <w:p>
            <w:pPr>
              <w:spacing w:after="40" w:before="40"/>
              <w:jc w:val="right"/>
            </w:pPr>
            <w:r/>
            <w:r>
              <w:rPr>
                <w:sz w:val="17"/>
              </w:rPr>
              <w:t>0.116</w:t>
            </w:r>
          </w:p>
        </w:tc>
        <w:tc>
          <w:tcPr>
            <w:tcW w:type="dxa" w:w="2088"/>
            <w:vAlign w:val="center"/>
          </w:tcPr>
          <w:p>
            <w:pPr>
              <w:spacing w:after="40" w:before="40"/>
              <w:jc w:val="right"/>
            </w:pPr>
            <w:r/>
            <w:r>
              <w:rPr>
                <w:sz w:val="17"/>
              </w:rPr>
              <w:t>801</w:t>
            </w:r>
          </w:p>
        </w:tc>
        <w:tc>
          <w:tcPr>
            <w:tcW w:type="dxa" w:w="1368"/>
            <w:vAlign w:val="center"/>
          </w:tcPr>
          <w:p>
            <w:pPr>
              <w:spacing w:after="40" w:before="40"/>
              <w:jc w:val="right"/>
            </w:pPr>
            <w:r/>
            <w:r>
              <w:rPr>
                <w:sz w:val="17"/>
              </w:rPr>
              <w:t>44.5%</w:t>
            </w:r>
          </w:p>
        </w:tc>
        <w:tc>
          <w:tcPr>
            <w:tcW w:type="dxa" w:w="1584"/>
            <w:vAlign w:val="center"/>
          </w:tcPr>
          <w:p>
            <w:pPr>
              <w:spacing w:after="40" w:before="40"/>
              <w:jc w:val="right"/>
            </w:pPr>
            <w:r/>
            <w:r>
              <w:rPr>
                <w:sz w:val="17"/>
              </w:rPr>
              <w:t>no</w:t>
            </w:r>
          </w:p>
        </w:tc>
      </w:tr>
      <w:tr>
        <w:trPr>
          <w:cantSplit w:val="true"/>
        </w:trPr>
        <w:tc>
          <w:tcPr>
            <w:tcW w:type="dxa" w:w="1512"/>
            <w:vAlign w:val="center"/>
            <w:shd w:fill="F1F5F9"/>
          </w:tcPr>
          <w:p>
            <w:pPr>
              <w:spacing w:after="40" w:before="40"/>
            </w:pPr>
            <w:r/>
            <w:r>
              <w:rPr>
                <w:sz w:val="17"/>
              </w:rPr>
              <w:t>ward</w:t>
            </w:r>
          </w:p>
        </w:tc>
        <w:tc>
          <w:tcPr>
            <w:tcW w:type="dxa" w:w="720"/>
            <w:vAlign w:val="center"/>
            <w:shd w:fill="F1F5F9"/>
          </w:tcPr>
          <w:p>
            <w:pPr>
              <w:spacing w:after="40" w:before="40"/>
              <w:jc w:val="right"/>
            </w:pPr>
            <w:r/>
            <w:r>
              <w:rPr>
                <w:sz w:val="17"/>
              </w:rPr>
              <w:t>3</w:t>
            </w:r>
          </w:p>
        </w:tc>
        <w:tc>
          <w:tcPr>
            <w:tcW w:type="dxa" w:w="1584"/>
            <w:vAlign w:val="center"/>
            <w:shd w:fill="F1F5F9"/>
          </w:tcPr>
          <w:p>
            <w:pPr>
              <w:spacing w:after="40" w:before="40"/>
              <w:jc w:val="right"/>
            </w:pPr>
            <w:r/>
            <w:r>
              <w:rPr>
                <w:sz w:val="17"/>
              </w:rPr>
              <w:t>0.145</w:t>
            </w:r>
          </w:p>
        </w:tc>
        <w:tc>
          <w:tcPr>
            <w:tcW w:type="dxa" w:w="2088"/>
            <w:vAlign w:val="center"/>
            <w:shd w:fill="F1F5F9"/>
          </w:tcPr>
          <w:p>
            <w:pPr>
              <w:spacing w:after="40" w:before="40"/>
              <w:jc w:val="right"/>
            </w:pPr>
            <w:r/>
            <w:r>
              <w:rPr>
                <w:sz w:val="17"/>
              </w:rPr>
              <w:t>319</w:t>
            </w:r>
          </w:p>
        </w:tc>
        <w:tc>
          <w:tcPr>
            <w:tcW w:type="dxa" w:w="1368"/>
            <w:vAlign w:val="center"/>
            <w:shd w:fill="F1F5F9"/>
          </w:tcPr>
          <w:p>
            <w:pPr>
              <w:spacing w:after="40" w:before="40"/>
              <w:jc w:val="right"/>
            </w:pPr>
            <w:r/>
            <w:r>
              <w:rPr>
                <w:sz w:val="17"/>
              </w:rPr>
              <w:t>17.7%</w:t>
            </w:r>
          </w:p>
        </w:tc>
        <w:tc>
          <w:tcPr>
            <w:tcW w:type="dxa" w:w="1584"/>
            <w:vAlign w:val="center"/>
            <w:shd w:fill="F1F5F9"/>
          </w:tcPr>
          <w:p>
            <w:pPr>
              <w:spacing w:after="40" w:before="40"/>
              <w:jc w:val="right"/>
            </w:pPr>
            <w:r/>
            <w:r>
              <w:rPr>
                <w:sz w:val="17"/>
              </w:rPr>
              <w:t>no</w:t>
            </w:r>
          </w:p>
        </w:tc>
      </w:tr>
      <w:tr>
        <w:trPr>
          <w:cantSplit w:val="true"/>
        </w:trPr>
        <w:tc>
          <w:tcPr>
            <w:tcW w:type="dxa" w:w="1512"/>
            <w:vAlign w:val="center"/>
          </w:tcPr>
          <w:p>
            <w:pPr>
              <w:spacing w:after="40" w:before="40"/>
            </w:pPr>
            <w:r/>
            <w:r>
              <w:rPr>
                <w:sz w:val="17"/>
              </w:rPr>
              <w:t>ward</w:t>
            </w:r>
          </w:p>
        </w:tc>
        <w:tc>
          <w:tcPr>
            <w:tcW w:type="dxa" w:w="720"/>
            <w:vAlign w:val="center"/>
          </w:tcPr>
          <w:p>
            <w:pPr>
              <w:spacing w:after="40" w:before="40"/>
              <w:jc w:val="right"/>
            </w:pPr>
            <w:r/>
            <w:r>
              <w:rPr>
                <w:sz w:val="17"/>
              </w:rPr>
              <w:t>4</w:t>
            </w:r>
          </w:p>
        </w:tc>
        <w:tc>
          <w:tcPr>
            <w:tcW w:type="dxa" w:w="1584"/>
            <w:vAlign w:val="center"/>
          </w:tcPr>
          <w:p>
            <w:pPr>
              <w:spacing w:after="40" w:before="40"/>
              <w:jc w:val="right"/>
            </w:pPr>
            <w:r/>
            <w:r>
              <w:rPr>
                <w:sz w:val="17"/>
              </w:rPr>
              <w:t>0.136</w:t>
            </w:r>
          </w:p>
        </w:tc>
        <w:tc>
          <w:tcPr>
            <w:tcW w:type="dxa" w:w="2088"/>
            <w:vAlign w:val="center"/>
          </w:tcPr>
          <w:p>
            <w:pPr>
              <w:spacing w:after="40" w:before="40"/>
              <w:jc w:val="right"/>
            </w:pPr>
            <w:r/>
            <w:r>
              <w:rPr>
                <w:sz w:val="17"/>
              </w:rPr>
              <w:t>254</w:t>
            </w:r>
          </w:p>
        </w:tc>
        <w:tc>
          <w:tcPr>
            <w:tcW w:type="dxa" w:w="1368"/>
            <w:vAlign w:val="center"/>
          </w:tcPr>
          <w:p>
            <w:pPr>
              <w:spacing w:after="40" w:before="40"/>
              <w:jc w:val="right"/>
            </w:pPr>
            <w:r/>
            <w:r>
              <w:rPr>
                <w:sz w:val="17"/>
              </w:rPr>
              <w:t>14.1%</w:t>
            </w:r>
          </w:p>
        </w:tc>
        <w:tc>
          <w:tcPr>
            <w:tcW w:type="dxa" w:w="1584"/>
            <w:vAlign w:val="center"/>
          </w:tcPr>
          <w:p>
            <w:pPr>
              <w:spacing w:after="40" w:before="40"/>
              <w:jc w:val="right"/>
            </w:pPr>
            <w:r/>
            <w:r>
              <w:rPr>
                <w:sz w:val="17"/>
              </w:rPr>
              <w:t>no</w:t>
            </w:r>
          </w:p>
        </w:tc>
      </w:tr>
      <w:tr>
        <w:trPr>
          <w:cantSplit w:val="true"/>
        </w:trPr>
        <w:tc>
          <w:tcPr>
            <w:tcW w:type="dxa" w:w="1512"/>
            <w:vAlign w:val="center"/>
            <w:shd w:fill="F1F5F9"/>
          </w:tcPr>
          <w:p>
            <w:pPr>
              <w:spacing w:after="40" w:before="40"/>
            </w:pPr>
            <w:r/>
            <w:r>
              <w:rPr>
                <w:sz w:val="17"/>
              </w:rPr>
              <w:t>ward</w:t>
            </w:r>
          </w:p>
        </w:tc>
        <w:tc>
          <w:tcPr>
            <w:tcW w:type="dxa" w:w="720"/>
            <w:vAlign w:val="center"/>
            <w:shd w:fill="F1F5F9"/>
          </w:tcPr>
          <w:p>
            <w:pPr>
              <w:spacing w:after="40" w:before="40"/>
              <w:jc w:val="right"/>
            </w:pPr>
            <w:r/>
            <w:r>
              <w:rPr>
                <w:sz w:val="17"/>
              </w:rPr>
              <w:t>5</w:t>
            </w:r>
          </w:p>
        </w:tc>
        <w:tc>
          <w:tcPr>
            <w:tcW w:type="dxa" w:w="1584"/>
            <w:vAlign w:val="center"/>
            <w:shd w:fill="F1F5F9"/>
          </w:tcPr>
          <w:p>
            <w:pPr>
              <w:spacing w:after="40" w:before="40"/>
              <w:jc w:val="right"/>
            </w:pPr>
            <w:r/>
            <w:r>
              <w:rPr>
                <w:sz w:val="17"/>
              </w:rPr>
              <w:t>0.111</w:t>
            </w:r>
          </w:p>
        </w:tc>
        <w:tc>
          <w:tcPr>
            <w:tcW w:type="dxa" w:w="2088"/>
            <w:vAlign w:val="center"/>
            <w:shd w:fill="F1F5F9"/>
          </w:tcPr>
          <w:p>
            <w:pPr>
              <w:spacing w:after="40" w:before="40"/>
              <w:jc w:val="right"/>
            </w:pPr>
            <w:r/>
            <w:r>
              <w:rPr>
                <w:sz w:val="17"/>
              </w:rPr>
              <w:t>223</w:t>
            </w:r>
          </w:p>
        </w:tc>
        <w:tc>
          <w:tcPr>
            <w:tcW w:type="dxa" w:w="1368"/>
            <w:vAlign w:val="center"/>
            <w:shd w:fill="F1F5F9"/>
          </w:tcPr>
          <w:p>
            <w:pPr>
              <w:spacing w:after="40" w:before="40"/>
              <w:jc w:val="right"/>
            </w:pPr>
            <w:r/>
            <w:r>
              <w:rPr>
                <w:sz w:val="17"/>
              </w:rPr>
              <w:t>12.4%</w:t>
            </w:r>
          </w:p>
        </w:tc>
        <w:tc>
          <w:tcPr>
            <w:tcW w:type="dxa" w:w="1584"/>
            <w:vAlign w:val="center"/>
            <w:shd w:fill="F1F5F9"/>
          </w:tcPr>
          <w:p>
            <w:pPr>
              <w:spacing w:after="40" w:before="40"/>
              <w:jc w:val="right"/>
            </w:pPr>
            <w:r/>
            <w:r>
              <w:rPr>
                <w:sz w:val="17"/>
              </w:rPr>
              <w:t>no</w:t>
            </w:r>
          </w:p>
        </w:tc>
      </w:tr>
      <w:tr>
        <w:trPr>
          <w:cantSplit w:val="true"/>
        </w:trPr>
        <w:tc>
          <w:tcPr>
            <w:tcW w:type="dxa" w:w="1512"/>
            <w:vAlign w:val="center"/>
          </w:tcPr>
          <w:p>
            <w:pPr>
              <w:spacing w:after="40" w:before="40"/>
            </w:pPr>
            <w:r/>
            <w:r>
              <w:rPr>
                <w:sz w:val="17"/>
              </w:rPr>
              <w:t>complete</w:t>
            </w:r>
          </w:p>
        </w:tc>
        <w:tc>
          <w:tcPr>
            <w:tcW w:type="dxa" w:w="720"/>
            <w:vAlign w:val="center"/>
          </w:tcPr>
          <w:p>
            <w:pPr>
              <w:spacing w:after="40" w:before="40"/>
              <w:jc w:val="right"/>
            </w:pPr>
            <w:r/>
            <w:r>
              <w:rPr>
                <w:sz w:val="17"/>
              </w:rPr>
              <w:t>2</w:t>
            </w:r>
          </w:p>
        </w:tc>
        <w:tc>
          <w:tcPr>
            <w:tcW w:type="dxa" w:w="1584"/>
            <w:vAlign w:val="center"/>
          </w:tcPr>
          <w:p>
            <w:pPr>
              <w:spacing w:after="40" w:before="40"/>
              <w:jc w:val="right"/>
            </w:pPr>
            <w:r/>
            <w:r>
              <w:rPr>
                <w:sz w:val="17"/>
              </w:rPr>
              <w:t>0.134</w:t>
            </w:r>
          </w:p>
        </w:tc>
        <w:tc>
          <w:tcPr>
            <w:tcW w:type="dxa" w:w="2088"/>
            <w:vAlign w:val="center"/>
          </w:tcPr>
          <w:p>
            <w:pPr>
              <w:spacing w:after="40" w:before="40"/>
              <w:jc w:val="right"/>
            </w:pPr>
            <w:r/>
            <w:r>
              <w:rPr>
                <w:sz w:val="17"/>
              </w:rPr>
              <w:t>268</w:t>
            </w:r>
          </w:p>
        </w:tc>
        <w:tc>
          <w:tcPr>
            <w:tcW w:type="dxa" w:w="1368"/>
            <w:vAlign w:val="center"/>
          </w:tcPr>
          <w:p>
            <w:pPr>
              <w:spacing w:after="40" w:before="40"/>
              <w:jc w:val="right"/>
            </w:pPr>
            <w:r/>
            <w:r>
              <w:rPr>
                <w:sz w:val="17"/>
              </w:rPr>
              <w:t>14.9%</w:t>
            </w:r>
          </w:p>
        </w:tc>
        <w:tc>
          <w:tcPr>
            <w:tcW w:type="dxa" w:w="1584"/>
            <w:vAlign w:val="center"/>
          </w:tcPr>
          <w:p>
            <w:pPr>
              <w:spacing w:after="40" w:before="40"/>
              <w:jc w:val="right"/>
            </w:pPr>
            <w:r/>
            <w:r>
              <w:rPr>
                <w:sz w:val="17"/>
              </w:rPr>
              <w:t>no</w:t>
            </w:r>
          </w:p>
        </w:tc>
      </w:tr>
      <w:tr>
        <w:trPr>
          <w:cantSplit w:val="true"/>
        </w:trPr>
        <w:tc>
          <w:tcPr>
            <w:tcW w:type="dxa" w:w="1512"/>
            <w:vAlign w:val="center"/>
            <w:shd w:fill="F1F5F9"/>
          </w:tcPr>
          <w:p>
            <w:pPr>
              <w:spacing w:after="40" w:before="40"/>
            </w:pPr>
            <w:r/>
            <w:r>
              <w:rPr>
                <w:sz w:val="17"/>
              </w:rPr>
              <w:t>complete</w:t>
            </w:r>
          </w:p>
        </w:tc>
        <w:tc>
          <w:tcPr>
            <w:tcW w:type="dxa" w:w="720"/>
            <w:vAlign w:val="center"/>
            <w:shd w:fill="F1F5F9"/>
          </w:tcPr>
          <w:p>
            <w:pPr>
              <w:spacing w:after="40" w:before="40"/>
              <w:jc w:val="right"/>
            </w:pPr>
            <w:r/>
            <w:r>
              <w:rPr>
                <w:sz w:val="17"/>
              </w:rPr>
              <w:t>3</w:t>
            </w:r>
          </w:p>
        </w:tc>
        <w:tc>
          <w:tcPr>
            <w:tcW w:type="dxa" w:w="1584"/>
            <w:vAlign w:val="center"/>
            <w:shd w:fill="F1F5F9"/>
          </w:tcPr>
          <w:p>
            <w:pPr>
              <w:spacing w:after="40" w:before="40"/>
              <w:jc w:val="right"/>
            </w:pPr>
            <w:r/>
            <w:r>
              <w:rPr>
                <w:sz w:val="17"/>
              </w:rPr>
              <w:t>0.055</w:t>
            </w:r>
          </w:p>
        </w:tc>
        <w:tc>
          <w:tcPr>
            <w:tcW w:type="dxa" w:w="2088"/>
            <w:vAlign w:val="center"/>
            <w:shd w:fill="F1F5F9"/>
          </w:tcPr>
          <w:p>
            <w:pPr>
              <w:spacing w:after="40" w:before="40"/>
              <w:jc w:val="right"/>
            </w:pPr>
            <w:r/>
            <w:r>
              <w:rPr>
                <w:sz w:val="17"/>
              </w:rPr>
              <w:t>187</w:t>
            </w:r>
          </w:p>
        </w:tc>
        <w:tc>
          <w:tcPr>
            <w:tcW w:type="dxa" w:w="1368"/>
            <w:vAlign w:val="center"/>
            <w:shd w:fill="F1F5F9"/>
          </w:tcPr>
          <w:p>
            <w:pPr>
              <w:spacing w:after="40" w:before="40"/>
              <w:jc w:val="right"/>
            </w:pPr>
            <w:r/>
            <w:r>
              <w:rPr>
                <w:sz w:val="17"/>
              </w:rPr>
              <w:t>10.4%</w:t>
            </w:r>
          </w:p>
        </w:tc>
        <w:tc>
          <w:tcPr>
            <w:tcW w:type="dxa" w:w="1584"/>
            <w:vAlign w:val="center"/>
            <w:shd w:fill="F1F5F9"/>
          </w:tcPr>
          <w:p>
            <w:pPr>
              <w:spacing w:after="40" w:before="40"/>
              <w:jc w:val="right"/>
            </w:pPr>
            <w:r/>
            <w:r>
              <w:rPr>
                <w:sz w:val="17"/>
              </w:rPr>
              <w:t>no</w:t>
            </w:r>
          </w:p>
        </w:tc>
      </w:tr>
      <w:tr>
        <w:trPr>
          <w:cantSplit w:val="true"/>
        </w:trPr>
        <w:tc>
          <w:tcPr>
            <w:tcW w:type="dxa" w:w="1512"/>
            <w:vAlign w:val="center"/>
          </w:tcPr>
          <w:p>
            <w:pPr>
              <w:spacing w:after="40" w:before="40"/>
            </w:pPr>
            <w:r/>
            <w:r>
              <w:rPr>
                <w:sz w:val="17"/>
              </w:rPr>
              <w:t>complete</w:t>
            </w:r>
          </w:p>
        </w:tc>
        <w:tc>
          <w:tcPr>
            <w:tcW w:type="dxa" w:w="720"/>
            <w:vAlign w:val="center"/>
          </w:tcPr>
          <w:p>
            <w:pPr>
              <w:spacing w:after="40" w:before="40"/>
              <w:jc w:val="right"/>
            </w:pPr>
            <w:r/>
            <w:r>
              <w:rPr>
                <w:sz w:val="17"/>
              </w:rPr>
              <w:t>4</w:t>
            </w:r>
          </w:p>
        </w:tc>
        <w:tc>
          <w:tcPr>
            <w:tcW w:type="dxa" w:w="1584"/>
            <w:vAlign w:val="center"/>
          </w:tcPr>
          <w:p>
            <w:pPr>
              <w:spacing w:after="40" w:before="40"/>
              <w:jc w:val="right"/>
            </w:pPr>
            <w:r/>
            <w:r>
              <w:rPr>
                <w:sz w:val="17"/>
              </w:rPr>
              <w:t>0.062</w:t>
            </w:r>
          </w:p>
        </w:tc>
        <w:tc>
          <w:tcPr>
            <w:tcW w:type="dxa" w:w="2088"/>
            <w:vAlign w:val="center"/>
          </w:tcPr>
          <w:p>
            <w:pPr>
              <w:spacing w:after="40" w:before="40"/>
              <w:jc w:val="right"/>
            </w:pPr>
            <w:r/>
            <w:r>
              <w:rPr>
                <w:sz w:val="17"/>
              </w:rPr>
              <w:t>122</w:t>
            </w:r>
          </w:p>
        </w:tc>
        <w:tc>
          <w:tcPr>
            <w:tcW w:type="dxa" w:w="1368"/>
            <w:vAlign w:val="center"/>
          </w:tcPr>
          <w:p>
            <w:pPr>
              <w:spacing w:after="40" w:before="40"/>
              <w:jc w:val="right"/>
            </w:pPr>
            <w:r/>
            <w:r>
              <w:rPr>
                <w:sz w:val="17"/>
              </w:rPr>
              <w:t>6.8%</w:t>
            </w:r>
          </w:p>
        </w:tc>
        <w:tc>
          <w:tcPr>
            <w:tcW w:type="dxa" w:w="1584"/>
            <w:vAlign w:val="center"/>
          </w:tcPr>
          <w:p>
            <w:pPr>
              <w:spacing w:after="40" w:before="40"/>
              <w:jc w:val="right"/>
            </w:pPr>
            <w:r/>
            <w:r>
              <w:rPr>
                <w:sz w:val="17"/>
              </w:rPr>
              <w:t>no</w:t>
            </w:r>
          </w:p>
        </w:tc>
      </w:tr>
      <w:tr>
        <w:trPr>
          <w:cantSplit w:val="true"/>
        </w:trPr>
        <w:tc>
          <w:tcPr>
            <w:tcW w:type="dxa" w:w="1512"/>
            <w:vAlign w:val="center"/>
            <w:shd w:fill="F1F5F9"/>
          </w:tcPr>
          <w:p>
            <w:pPr>
              <w:spacing w:after="40" w:before="40"/>
            </w:pPr>
            <w:r/>
            <w:r>
              <w:rPr>
                <w:sz w:val="17"/>
              </w:rPr>
              <w:t>complete</w:t>
            </w:r>
          </w:p>
        </w:tc>
        <w:tc>
          <w:tcPr>
            <w:tcW w:type="dxa" w:w="720"/>
            <w:vAlign w:val="center"/>
            <w:shd w:fill="F1F5F9"/>
          </w:tcPr>
          <w:p>
            <w:pPr>
              <w:spacing w:after="40" w:before="40"/>
              <w:jc w:val="right"/>
            </w:pPr>
            <w:r/>
            <w:r>
              <w:rPr>
                <w:sz w:val="17"/>
              </w:rPr>
              <w:t>5</w:t>
            </w:r>
          </w:p>
        </w:tc>
        <w:tc>
          <w:tcPr>
            <w:tcW w:type="dxa" w:w="1584"/>
            <w:vAlign w:val="center"/>
            <w:shd w:fill="F1F5F9"/>
          </w:tcPr>
          <w:p>
            <w:pPr>
              <w:spacing w:after="40" w:before="40"/>
              <w:jc w:val="right"/>
            </w:pPr>
            <w:r/>
            <w:r>
              <w:rPr>
                <w:sz w:val="17"/>
              </w:rPr>
              <w:t>0.048</w:t>
            </w:r>
          </w:p>
        </w:tc>
        <w:tc>
          <w:tcPr>
            <w:tcW w:type="dxa" w:w="2088"/>
            <w:vAlign w:val="center"/>
            <w:shd w:fill="F1F5F9"/>
          </w:tcPr>
          <w:p>
            <w:pPr>
              <w:spacing w:after="40" w:before="40"/>
              <w:jc w:val="right"/>
            </w:pPr>
            <w:r/>
            <w:r>
              <w:rPr>
                <w:sz w:val="17"/>
              </w:rPr>
              <w:t>88</w:t>
            </w:r>
          </w:p>
        </w:tc>
        <w:tc>
          <w:tcPr>
            <w:tcW w:type="dxa" w:w="1368"/>
            <w:vAlign w:val="center"/>
            <w:shd w:fill="F1F5F9"/>
          </w:tcPr>
          <w:p>
            <w:pPr>
              <w:spacing w:after="40" w:before="40"/>
              <w:jc w:val="right"/>
            </w:pPr>
            <w:r/>
            <w:r>
              <w:rPr>
                <w:sz w:val="17"/>
              </w:rPr>
              <w:t>4.9%</w:t>
            </w:r>
          </w:p>
        </w:tc>
        <w:tc>
          <w:tcPr>
            <w:tcW w:type="dxa" w:w="1584"/>
            <w:vAlign w:val="center"/>
            <w:shd w:fill="F1F5F9"/>
          </w:tcPr>
          <w:p>
            <w:pPr>
              <w:spacing w:after="40" w:before="40"/>
              <w:jc w:val="right"/>
            </w:pPr>
            <w:r/>
            <w:r>
              <w:rPr>
                <w:sz w:val="17"/>
              </w:rPr>
              <w:t>no</w:t>
            </w:r>
          </w:p>
        </w:tc>
      </w:tr>
      <w:tr>
        <w:trPr>
          <w:cantSplit w:val="true"/>
        </w:trPr>
        <w:tc>
          <w:tcPr>
            <w:tcW w:type="dxa" w:w="1512"/>
            <w:vAlign w:val="center"/>
          </w:tcPr>
          <w:p>
            <w:pPr>
              <w:spacing w:after="40" w:before="40"/>
            </w:pPr>
            <w:r/>
            <w:r>
              <w:rPr>
                <w:sz w:val="17"/>
              </w:rPr>
              <w:t>average</w:t>
            </w:r>
          </w:p>
        </w:tc>
        <w:tc>
          <w:tcPr>
            <w:tcW w:type="dxa" w:w="720"/>
            <w:vAlign w:val="center"/>
          </w:tcPr>
          <w:p>
            <w:pPr>
              <w:spacing w:after="40" w:before="40"/>
              <w:jc w:val="right"/>
            </w:pPr>
            <w:r/>
            <w:r>
              <w:rPr>
                <w:sz w:val="17"/>
              </w:rPr>
              <w:t>2</w:t>
            </w:r>
          </w:p>
        </w:tc>
        <w:tc>
          <w:tcPr>
            <w:tcW w:type="dxa" w:w="1584"/>
            <w:vAlign w:val="center"/>
          </w:tcPr>
          <w:p>
            <w:pPr>
              <w:spacing w:after="40" w:before="40"/>
              <w:jc w:val="right"/>
            </w:pPr>
            <w:r/>
            <w:r>
              <w:rPr>
                <w:sz w:val="17"/>
              </w:rPr>
              <w:t>0.270</w:t>
            </w:r>
          </w:p>
        </w:tc>
        <w:tc>
          <w:tcPr>
            <w:tcW w:type="dxa" w:w="2088"/>
            <w:vAlign w:val="center"/>
          </w:tcPr>
          <w:p>
            <w:pPr>
              <w:spacing w:after="40" w:before="40"/>
              <w:jc w:val="right"/>
            </w:pPr>
            <w:r/>
            <w:r>
              <w:rPr>
                <w:sz w:val="17"/>
              </w:rPr>
              <w:t>5</w:t>
            </w:r>
          </w:p>
        </w:tc>
        <w:tc>
          <w:tcPr>
            <w:tcW w:type="dxa" w:w="1368"/>
            <w:vAlign w:val="center"/>
          </w:tcPr>
          <w:p>
            <w:pPr>
              <w:spacing w:after="40" w:before="40"/>
              <w:jc w:val="right"/>
            </w:pPr>
            <w:r/>
            <w:r>
              <w:rPr>
                <w:sz w:val="17"/>
              </w:rPr>
              <w:t>0.3%</w:t>
            </w:r>
          </w:p>
        </w:tc>
        <w:tc>
          <w:tcPr>
            <w:tcW w:type="dxa" w:w="1584"/>
            <w:vAlign w:val="center"/>
          </w:tcPr>
          <w:p>
            <w:pPr>
              <w:spacing w:after="40" w:before="40"/>
              <w:jc w:val="right"/>
            </w:pPr>
            <w:r/>
            <w:r>
              <w:rPr>
                <w:sz w:val="17"/>
              </w:rPr>
              <w:t>yes</w:t>
            </w:r>
          </w:p>
        </w:tc>
      </w:tr>
      <w:tr>
        <w:trPr>
          <w:cantSplit w:val="true"/>
        </w:trPr>
        <w:tc>
          <w:tcPr>
            <w:tcW w:type="dxa" w:w="1512"/>
            <w:vAlign w:val="center"/>
            <w:shd w:fill="F1F5F9"/>
          </w:tcPr>
          <w:p>
            <w:pPr>
              <w:spacing w:after="40" w:before="40"/>
            </w:pPr>
            <w:r/>
            <w:r>
              <w:rPr>
                <w:sz w:val="17"/>
              </w:rPr>
              <w:t>average</w:t>
            </w:r>
          </w:p>
        </w:tc>
        <w:tc>
          <w:tcPr>
            <w:tcW w:type="dxa" w:w="720"/>
            <w:vAlign w:val="center"/>
            <w:shd w:fill="F1F5F9"/>
          </w:tcPr>
          <w:p>
            <w:pPr>
              <w:spacing w:after="40" w:before="40"/>
              <w:jc w:val="right"/>
            </w:pPr>
            <w:r/>
            <w:r>
              <w:rPr>
                <w:sz w:val="17"/>
              </w:rPr>
              <w:t>3</w:t>
            </w:r>
          </w:p>
        </w:tc>
        <w:tc>
          <w:tcPr>
            <w:tcW w:type="dxa" w:w="1584"/>
            <w:vAlign w:val="center"/>
            <w:shd w:fill="F1F5F9"/>
          </w:tcPr>
          <w:p>
            <w:pPr>
              <w:spacing w:after="40" w:before="40"/>
              <w:jc w:val="right"/>
            </w:pPr>
            <w:r/>
            <w:r>
              <w:rPr>
                <w:sz w:val="17"/>
              </w:rPr>
              <w:t>0.179</w:t>
            </w:r>
          </w:p>
        </w:tc>
        <w:tc>
          <w:tcPr>
            <w:tcW w:type="dxa" w:w="2088"/>
            <w:vAlign w:val="center"/>
            <w:shd w:fill="F1F5F9"/>
          </w:tcPr>
          <w:p>
            <w:pPr>
              <w:spacing w:after="40" w:before="40"/>
              <w:jc w:val="right"/>
            </w:pPr>
            <w:r/>
            <w:r>
              <w:rPr>
                <w:sz w:val="17"/>
              </w:rPr>
              <w:t>4</w:t>
            </w:r>
          </w:p>
        </w:tc>
        <w:tc>
          <w:tcPr>
            <w:tcW w:type="dxa" w:w="1368"/>
            <w:vAlign w:val="center"/>
            <w:shd w:fill="F1F5F9"/>
          </w:tcPr>
          <w:p>
            <w:pPr>
              <w:spacing w:after="40" w:before="40"/>
              <w:jc w:val="right"/>
            </w:pPr>
            <w:r/>
            <w:r>
              <w:rPr>
                <w:sz w:val="17"/>
              </w:rPr>
              <w:t>0.2%</w:t>
            </w:r>
          </w:p>
        </w:tc>
        <w:tc>
          <w:tcPr>
            <w:tcW w:type="dxa" w:w="1584"/>
            <w:vAlign w:val="center"/>
            <w:shd w:fill="F1F5F9"/>
          </w:tcPr>
          <w:p>
            <w:pPr>
              <w:spacing w:after="40" w:before="40"/>
              <w:jc w:val="right"/>
            </w:pPr>
            <w:r/>
            <w:r>
              <w:rPr>
                <w:sz w:val="17"/>
              </w:rPr>
              <w:t>yes</w:t>
            </w:r>
          </w:p>
        </w:tc>
      </w:tr>
      <w:tr>
        <w:trPr>
          <w:cantSplit w:val="true"/>
        </w:trPr>
        <w:tc>
          <w:tcPr>
            <w:tcW w:type="dxa" w:w="1512"/>
            <w:vAlign w:val="center"/>
          </w:tcPr>
          <w:p>
            <w:pPr>
              <w:spacing w:after="40" w:before="40"/>
            </w:pPr>
            <w:r/>
            <w:r>
              <w:rPr>
                <w:sz w:val="17"/>
              </w:rPr>
              <w:t>average</w:t>
            </w:r>
          </w:p>
        </w:tc>
        <w:tc>
          <w:tcPr>
            <w:tcW w:type="dxa" w:w="720"/>
            <w:vAlign w:val="center"/>
          </w:tcPr>
          <w:p>
            <w:pPr>
              <w:spacing w:after="40" w:before="40"/>
              <w:jc w:val="right"/>
            </w:pPr>
            <w:r/>
            <w:r>
              <w:rPr>
                <w:sz w:val="17"/>
              </w:rPr>
              <w:t>4</w:t>
            </w:r>
          </w:p>
        </w:tc>
        <w:tc>
          <w:tcPr>
            <w:tcW w:type="dxa" w:w="1584"/>
            <w:vAlign w:val="center"/>
          </w:tcPr>
          <w:p>
            <w:pPr>
              <w:spacing w:after="40" w:before="40"/>
              <w:jc w:val="right"/>
            </w:pPr>
            <w:r/>
            <w:r>
              <w:rPr>
                <w:sz w:val="17"/>
              </w:rPr>
              <w:t>0.141</w:t>
            </w:r>
          </w:p>
        </w:tc>
        <w:tc>
          <w:tcPr>
            <w:tcW w:type="dxa" w:w="2088"/>
            <w:vAlign w:val="center"/>
          </w:tcPr>
          <w:p>
            <w:pPr>
              <w:spacing w:after="40" w:before="40"/>
              <w:jc w:val="right"/>
            </w:pPr>
            <w:r/>
            <w:r>
              <w:rPr>
                <w:sz w:val="17"/>
              </w:rPr>
              <w:t>4</w:t>
            </w:r>
          </w:p>
        </w:tc>
        <w:tc>
          <w:tcPr>
            <w:tcW w:type="dxa" w:w="1368"/>
            <w:vAlign w:val="center"/>
          </w:tcPr>
          <w:p>
            <w:pPr>
              <w:spacing w:after="40" w:before="40"/>
              <w:jc w:val="right"/>
            </w:pPr>
            <w:r/>
            <w:r>
              <w:rPr>
                <w:sz w:val="17"/>
              </w:rPr>
              <w:t>0.2%</w:t>
            </w:r>
          </w:p>
        </w:tc>
        <w:tc>
          <w:tcPr>
            <w:tcW w:type="dxa" w:w="1584"/>
            <w:vAlign w:val="center"/>
          </w:tcPr>
          <w:p>
            <w:pPr>
              <w:spacing w:after="40" w:before="40"/>
              <w:jc w:val="right"/>
            </w:pPr>
            <w:r/>
            <w:r>
              <w:rPr>
                <w:sz w:val="17"/>
              </w:rPr>
              <w:t>yes</w:t>
            </w:r>
          </w:p>
        </w:tc>
      </w:tr>
      <w:tr>
        <w:trPr>
          <w:cantSplit w:val="true"/>
        </w:trPr>
        <w:tc>
          <w:tcPr>
            <w:tcW w:type="dxa" w:w="1512"/>
            <w:vAlign w:val="center"/>
            <w:shd w:fill="F1F5F9"/>
          </w:tcPr>
          <w:p>
            <w:pPr>
              <w:spacing w:after="40" w:before="40"/>
            </w:pPr>
            <w:r/>
            <w:r>
              <w:rPr>
                <w:sz w:val="17"/>
              </w:rPr>
              <w:t>average</w:t>
            </w:r>
          </w:p>
        </w:tc>
        <w:tc>
          <w:tcPr>
            <w:tcW w:type="dxa" w:w="720"/>
            <w:vAlign w:val="center"/>
            <w:shd w:fill="F1F5F9"/>
          </w:tcPr>
          <w:p>
            <w:pPr>
              <w:spacing w:after="40" w:before="40"/>
              <w:jc w:val="right"/>
            </w:pPr>
            <w:r/>
            <w:r>
              <w:rPr>
                <w:sz w:val="17"/>
              </w:rPr>
              <w:t>5</w:t>
            </w:r>
          </w:p>
        </w:tc>
        <w:tc>
          <w:tcPr>
            <w:tcW w:type="dxa" w:w="1584"/>
            <w:vAlign w:val="center"/>
            <w:shd w:fill="F1F5F9"/>
          </w:tcPr>
          <w:p>
            <w:pPr>
              <w:spacing w:after="40" w:before="40"/>
              <w:jc w:val="right"/>
            </w:pPr>
            <w:r/>
            <w:r>
              <w:rPr>
                <w:sz w:val="17"/>
              </w:rPr>
              <w:t>0.129</w:t>
            </w:r>
          </w:p>
        </w:tc>
        <w:tc>
          <w:tcPr>
            <w:tcW w:type="dxa" w:w="2088"/>
            <w:vAlign w:val="center"/>
            <w:shd w:fill="F1F5F9"/>
          </w:tcPr>
          <w:p>
            <w:pPr>
              <w:spacing w:after="40" w:before="40"/>
              <w:jc w:val="right"/>
            </w:pPr>
            <w:r/>
            <w:r>
              <w:rPr>
                <w:sz w:val="17"/>
              </w:rPr>
              <w:t>1</w:t>
            </w:r>
          </w:p>
        </w:tc>
        <w:tc>
          <w:tcPr>
            <w:tcW w:type="dxa" w:w="1368"/>
            <w:vAlign w:val="center"/>
            <w:shd w:fill="F1F5F9"/>
          </w:tcPr>
          <w:p>
            <w:pPr>
              <w:spacing w:after="40" w:before="40"/>
              <w:jc w:val="right"/>
            </w:pPr>
            <w:r/>
            <w:r>
              <w:rPr>
                <w:sz w:val="17"/>
              </w:rPr>
              <w:t>0.1%</w:t>
            </w:r>
          </w:p>
        </w:tc>
        <w:tc>
          <w:tcPr>
            <w:tcW w:type="dxa" w:w="1584"/>
            <w:vAlign w:val="center"/>
            <w:shd w:fill="F1F5F9"/>
          </w:tcPr>
          <w:p>
            <w:pPr>
              <w:spacing w:after="40" w:before="40"/>
              <w:jc w:val="right"/>
            </w:pPr>
            <w:r/>
            <w:r>
              <w:rPr>
                <w:sz w:val="17"/>
              </w:rPr>
              <w:t>yes</w:t>
            </w:r>
          </w:p>
        </w:tc>
      </w:tr>
      <w:tr>
        <w:trPr>
          <w:cantSplit w:val="true"/>
        </w:trPr>
        <w:tc>
          <w:tcPr>
            <w:tcW w:type="dxa" w:w="1512"/>
            <w:vAlign w:val="center"/>
          </w:tcPr>
          <w:p>
            <w:pPr>
              <w:spacing w:after="40" w:before="40"/>
            </w:pPr>
            <w:r/>
            <w:r>
              <w:rPr>
                <w:sz w:val="17"/>
              </w:rPr>
              <w:t>single</w:t>
            </w:r>
          </w:p>
        </w:tc>
        <w:tc>
          <w:tcPr>
            <w:tcW w:type="dxa" w:w="720"/>
            <w:vAlign w:val="center"/>
          </w:tcPr>
          <w:p>
            <w:pPr>
              <w:spacing w:after="40" w:before="40"/>
              <w:jc w:val="right"/>
            </w:pPr>
            <w:r/>
            <w:r>
              <w:rPr>
                <w:sz w:val="17"/>
              </w:rPr>
              <w:t>2</w:t>
            </w:r>
          </w:p>
        </w:tc>
        <w:tc>
          <w:tcPr>
            <w:tcW w:type="dxa" w:w="1584"/>
            <w:vAlign w:val="center"/>
          </w:tcPr>
          <w:p>
            <w:pPr>
              <w:spacing w:after="40" w:before="40"/>
              <w:jc w:val="right"/>
            </w:pPr>
            <w:r/>
            <w:r>
              <w:rPr>
                <w:sz w:val="17"/>
              </w:rPr>
              <w:t>0.294</w:t>
            </w:r>
          </w:p>
        </w:tc>
        <w:tc>
          <w:tcPr>
            <w:tcW w:type="dxa" w:w="2088"/>
            <w:vAlign w:val="center"/>
          </w:tcPr>
          <w:p>
            <w:pPr>
              <w:spacing w:after="40" w:before="40"/>
              <w:jc w:val="right"/>
            </w:pPr>
            <w:r/>
            <w:r>
              <w:rPr>
                <w:sz w:val="17"/>
              </w:rPr>
              <w:t>1</w:t>
            </w:r>
          </w:p>
        </w:tc>
        <w:tc>
          <w:tcPr>
            <w:tcW w:type="dxa" w:w="1368"/>
            <w:vAlign w:val="center"/>
          </w:tcPr>
          <w:p>
            <w:pPr>
              <w:spacing w:after="40" w:before="40"/>
              <w:jc w:val="right"/>
            </w:pPr>
            <w:r/>
            <w:r>
              <w:rPr>
                <w:sz w:val="17"/>
              </w:rPr>
              <w:t>0.1%</w:t>
            </w:r>
          </w:p>
        </w:tc>
        <w:tc>
          <w:tcPr>
            <w:tcW w:type="dxa" w:w="1584"/>
            <w:vAlign w:val="center"/>
          </w:tcPr>
          <w:p>
            <w:pPr>
              <w:spacing w:after="40" w:before="40"/>
              <w:jc w:val="right"/>
            </w:pPr>
            <w:r/>
            <w:r>
              <w:rPr>
                <w:sz w:val="17"/>
              </w:rPr>
              <w:t>yes</w:t>
            </w:r>
          </w:p>
        </w:tc>
      </w:tr>
      <w:tr>
        <w:trPr>
          <w:cantSplit w:val="true"/>
        </w:trPr>
        <w:tc>
          <w:tcPr>
            <w:tcW w:type="dxa" w:w="1512"/>
            <w:vAlign w:val="center"/>
            <w:shd w:fill="F1F5F9"/>
          </w:tcPr>
          <w:p>
            <w:pPr>
              <w:spacing w:after="40" w:before="40"/>
            </w:pPr>
            <w:r/>
            <w:r>
              <w:rPr>
                <w:sz w:val="17"/>
              </w:rPr>
              <w:t>single</w:t>
            </w:r>
          </w:p>
        </w:tc>
        <w:tc>
          <w:tcPr>
            <w:tcW w:type="dxa" w:w="720"/>
            <w:vAlign w:val="center"/>
            <w:shd w:fill="F1F5F9"/>
          </w:tcPr>
          <w:p>
            <w:pPr>
              <w:spacing w:after="40" w:before="40"/>
              <w:jc w:val="right"/>
            </w:pPr>
            <w:r/>
            <w:r>
              <w:rPr>
                <w:sz w:val="17"/>
              </w:rPr>
              <w:t>3</w:t>
            </w:r>
          </w:p>
        </w:tc>
        <w:tc>
          <w:tcPr>
            <w:tcW w:type="dxa" w:w="1584"/>
            <w:vAlign w:val="center"/>
            <w:shd w:fill="F1F5F9"/>
          </w:tcPr>
          <w:p>
            <w:pPr>
              <w:spacing w:after="40" w:before="40"/>
              <w:jc w:val="right"/>
            </w:pPr>
            <w:r/>
            <w:r>
              <w:rPr>
                <w:sz w:val="17"/>
              </w:rPr>
              <w:t>0.271</w:t>
            </w:r>
          </w:p>
        </w:tc>
        <w:tc>
          <w:tcPr>
            <w:tcW w:type="dxa" w:w="2088"/>
            <w:vAlign w:val="center"/>
            <w:shd w:fill="F1F5F9"/>
          </w:tcPr>
          <w:p>
            <w:pPr>
              <w:spacing w:after="40" w:before="40"/>
              <w:jc w:val="right"/>
            </w:pPr>
            <w:r/>
            <w:r>
              <w:rPr>
                <w:sz w:val="17"/>
              </w:rPr>
              <w:t>1</w:t>
            </w:r>
          </w:p>
        </w:tc>
        <w:tc>
          <w:tcPr>
            <w:tcW w:type="dxa" w:w="1368"/>
            <w:vAlign w:val="center"/>
            <w:shd w:fill="F1F5F9"/>
          </w:tcPr>
          <w:p>
            <w:pPr>
              <w:spacing w:after="40" w:before="40"/>
              <w:jc w:val="right"/>
            </w:pPr>
            <w:r/>
            <w:r>
              <w:rPr>
                <w:sz w:val="17"/>
              </w:rPr>
              <w:t>0.1%</w:t>
            </w:r>
          </w:p>
        </w:tc>
        <w:tc>
          <w:tcPr>
            <w:tcW w:type="dxa" w:w="1584"/>
            <w:vAlign w:val="center"/>
            <w:shd w:fill="F1F5F9"/>
          </w:tcPr>
          <w:p>
            <w:pPr>
              <w:spacing w:after="40" w:before="40"/>
              <w:jc w:val="right"/>
            </w:pPr>
            <w:r/>
            <w:r>
              <w:rPr>
                <w:sz w:val="17"/>
              </w:rPr>
              <w:t>yes</w:t>
            </w:r>
          </w:p>
        </w:tc>
      </w:tr>
      <w:tr>
        <w:trPr>
          <w:cantSplit w:val="true"/>
        </w:trPr>
        <w:tc>
          <w:tcPr>
            <w:tcW w:type="dxa" w:w="1512"/>
            <w:vAlign w:val="center"/>
          </w:tcPr>
          <w:p>
            <w:pPr>
              <w:spacing w:after="40" w:before="40"/>
            </w:pPr>
            <w:r/>
            <w:r>
              <w:rPr>
                <w:sz w:val="17"/>
              </w:rPr>
              <w:t>single</w:t>
            </w:r>
          </w:p>
        </w:tc>
        <w:tc>
          <w:tcPr>
            <w:tcW w:type="dxa" w:w="720"/>
            <w:vAlign w:val="center"/>
          </w:tcPr>
          <w:p>
            <w:pPr>
              <w:spacing w:after="40" w:before="40"/>
              <w:jc w:val="right"/>
            </w:pPr>
            <w:r/>
            <w:r>
              <w:rPr>
                <w:sz w:val="17"/>
              </w:rPr>
              <w:t>4</w:t>
            </w:r>
          </w:p>
        </w:tc>
        <w:tc>
          <w:tcPr>
            <w:tcW w:type="dxa" w:w="1584"/>
            <w:vAlign w:val="center"/>
          </w:tcPr>
          <w:p>
            <w:pPr>
              <w:spacing w:after="40" w:before="40"/>
              <w:jc w:val="right"/>
            </w:pPr>
            <w:r/>
            <w:r>
              <w:rPr>
                <w:sz w:val="17"/>
              </w:rPr>
              <w:t>0.173</w:t>
            </w:r>
          </w:p>
        </w:tc>
        <w:tc>
          <w:tcPr>
            <w:tcW w:type="dxa" w:w="2088"/>
            <w:vAlign w:val="center"/>
          </w:tcPr>
          <w:p>
            <w:pPr>
              <w:spacing w:after="40" w:before="40"/>
              <w:jc w:val="right"/>
            </w:pPr>
            <w:r/>
            <w:r>
              <w:rPr>
                <w:sz w:val="17"/>
              </w:rPr>
              <w:t>1</w:t>
            </w:r>
          </w:p>
        </w:tc>
        <w:tc>
          <w:tcPr>
            <w:tcW w:type="dxa" w:w="1368"/>
            <w:vAlign w:val="center"/>
          </w:tcPr>
          <w:p>
            <w:pPr>
              <w:spacing w:after="40" w:before="40"/>
              <w:jc w:val="right"/>
            </w:pPr>
            <w:r/>
            <w:r>
              <w:rPr>
                <w:sz w:val="17"/>
              </w:rPr>
              <w:t>0.1%</w:t>
            </w:r>
          </w:p>
        </w:tc>
        <w:tc>
          <w:tcPr>
            <w:tcW w:type="dxa" w:w="1584"/>
            <w:vAlign w:val="center"/>
          </w:tcPr>
          <w:p>
            <w:pPr>
              <w:spacing w:after="40" w:before="40"/>
              <w:jc w:val="right"/>
            </w:pPr>
            <w:r/>
            <w:r>
              <w:rPr>
                <w:sz w:val="17"/>
              </w:rPr>
              <w:t>yes</w:t>
            </w:r>
          </w:p>
        </w:tc>
      </w:tr>
      <w:tr>
        <w:trPr>
          <w:cantSplit w:val="true"/>
        </w:trPr>
        <w:tc>
          <w:tcPr>
            <w:tcW w:type="dxa" w:w="1512"/>
            <w:vAlign w:val="center"/>
            <w:shd w:fill="F1F5F9"/>
          </w:tcPr>
          <w:p>
            <w:pPr>
              <w:spacing w:after="40" w:before="40"/>
            </w:pPr>
            <w:r/>
            <w:r>
              <w:rPr>
                <w:sz w:val="17"/>
              </w:rPr>
              <w:t>single</w:t>
            </w:r>
          </w:p>
        </w:tc>
        <w:tc>
          <w:tcPr>
            <w:tcW w:type="dxa" w:w="720"/>
            <w:vAlign w:val="center"/>
            <w:shd w:fill="F1F5F9"/>
          </w:tcPr>
          <w:p>
            <w:pPr>
              <w:spacing w:after="40" w:before="40"/>
              <w:jc w:val="right"/>
            </w:pPr>
            <w:r/>
            <w:r>
              <w:rPr>
                <w:sz w:val="17"/>
              </w:rPr>
              <w:t>5</w:t>
            </w:r>
          </w:p>
        </w:tc>
        <w:tc>
          <w:tcPr>
            <w:tcW w:type="dxa" w:w="1584"/>
            <w:vAlign w:val="center"/>
            <w:shd w:fill="F1F5F9"/>
          </w:tcPr>
          <w:p>
            <w:pPr>
              <w:spacing w:after="40" w:before="40"/>
              <w:jc w:val="right"/>
            </w:pPr>
            <w:r/>
            <w:r>
              <w:rPr>
                <w:sz w:val="17"/>
              </w:rPr>
              <w:t>0.154</w:t>
            </w:r>
          </w:p>
        </w:tc>
        <w:tc>
          <w:tcPr>
            <w:tcW w:type="dxa" w:w="2088"/>
            <w:vAlign w:val="center"/>
            <w:shd w:fill="F1F5F9"/>
          </w:tcPr>
          <w:p>
            <w:pPr>
              <w:spacing w:after="40" w:before="40"/>
              <w:jc w:val="right"/>
            </w:pPr>
            <w:r/>
            <w:r>
              <w:rPr>
                <w:sz w:val="17"/>
              </w:rPr>
              <w:t>1</w:t>
            </w:r>
          </w:p>
        </w:tc>
        <w:tc>
          <w:tcPr>
            <w:tcW w:type="dxa" w:w="1368"/>
            <w:vAlign w:val="center"/>
            <w:shd w:fill="F1F5F9"/>
          </w:tcPr>
          <w:p>
            <w:pPr>
              <w:spacing w:after="40" w:before="40"/>
              <w:jc w:val="right"/>
            </w:pPr>
            <w:r/>
            <w:r>
              <w:rPr>
                <w:sz w:val="17"/>
              </w:rPr>
              <w:t>0.1%</w:t>
            </w:r>
          </w:p>
        </w:tc>
        <w:tc>
          <w:tcPr>
            <w:tcW w:type="dxa" w:w="1584"/>
            <w:vAlign w:val="center"/>
            <w:shd w:fill="F1F5F9"/>
          </w:tcPr>
          <w:p>
            <w:pPr>
              <w:spacing w:after="40" w:before="40"/>
              <w:jc w:val="right"/>
            </w:pPr>
            <w:r/>
            <w:r>
              <w:rPr>
                <w:sz w:val="17"/>
              </w:rPr>
              <w:t>yes</w:t>
            </w:r>
          </w:p>
        </w:tc>
      </w:tr>
    </w:tbl>
    <w:p>
      <w:pPr>
        <w:spacing w:after="40" w:before="0"/>
      </w:pPr>
    </w:p>
    <w:p>
      <w:pPr>
        <w:spacing w:before="80" w:after="40"/>
        <w:jc w:val="center"/>
      </w:pPr>
      <w:r>
        <w:drawing>
          <wp:inline xmlns:a="http://schemas.openxmlformats.org/drawingml/2006/main" xmlns:pic="http://schemas.openxmlformats.org/drawingml/2006/picture">
            <wp:extent cx="5669280" cy="2004772"/>
            <wp:docPr id="7" name="Picture 7"/>
            <wp:cNvGraphicFramePr>
              <a:graphicFrameLocks noChangeAspect="1"/>
            </wp:cNvGraphicFramePr>
            <a:graphic>
              <a:graphicData uri="http://schemas.openxmlformats.org/drawingml/2006/picture">
                <pic:pic>
                  <pic:nvPicPr>
                    <pic:cNvPr id="0" name="06_linkage_trap.png"/>
                    <pic:cNvPicPr/>
                  </pic:nvPicPr>
                  <pic:blipFill>
                    <a:blip r:embed="rId17"/>
                    <a:stretch>
                      <a:fillRect/>
                    </a:stretch>
                  </pic:blipFill>
                  <pic:spPr>
                    <a:xfrm>
                      <a:off x="0" y="0"/>
                      <a:ext cx="5669280" cy="2004772"/>
                    </a:xfrm>
                    <a:prstGeom prst="rect"/>
                  </pic:spPr>
                </pic:pic>
              </a:graphicData>
            </a:graphic>
          </wp:inline>
        </w:drawing>
      </w:r>
    </w:p>
    <w:p>
      <w:pPr>
        <w:spacing w:before="40" w:after="200"/>
        <w:jc w:val="center"/>
      </w:pPr>
      <w:r>
        <w:rPr>
          <w:i/>
          <w:color w:val="7A8794"/>
          <w:sz w:val="16"/>
        </w:rPr>
        <w:t>Figure 7 — Silhouette by linkage (left) against the size of the smallest cluster each one produces (right, log scale). The two best silhouettes belong to the two degenerate solutions.</w:t>
      </w:r>
    </w:p>
    <w:p>
      <w:pPr>
        <w:pStyle w:val="Heading2"/>
      </w:pPr>
      <w:r>
        <w:t>8.1 The silhouette trap</w:t>
      </w:r>
    </w:p>
    <w:p>
      <w:r>
        <w:rPr>
          <w:i w:val="0"/>
        </w:rPr>
        <w:t>Sort the table by silhouette and the winner is single linkage at k = 2, scoring 0.294 — higher than anything else in the table and nearly twice the value K-Means achieved. It is also worthless: the smallest cluster contains 1 customer.</w:t>
      </w:r>
    </w:p>
    <w:p>
      <w:r>
        <w:rPr>
          <w:i w:val="0"/>
        </w:rPr>
        <w:t>The mechanism is worth stating plainly. The silhouette of a point is the difference between its distance to its own cluster and to the nearest other cluster, scaled by the larger of the two. For a point alone in its cluster, the within-cluster distance is zero by definition, so its silhouette is the maximum possible value. A partition containing singletons therefore has a structurally inflated average.</w:t>
      </w:r>
    </w:p>
    <w:tbl>
      <w:tblPr>
        <w:tblW w:type="auto" w:w="0"/>
        <w:jc w:val="center"/>
        <w:tblLayout w:type="fixed"/>
        <w:tblLook w:firstColumn="1" w:firstRow="1" w:lastColumn="0" w:lastRow="0" w:noHBand="0" w:noVBand="1" w:val="04A0"/>
      </w:tblPr>
      <w:tblGrid>
        <w:gridCol w:w="9764"/>
      </w:tblGrid>
      <w:tr>
        <w:tc>
          <w:tcPr>
            <w:tcW w:type="dxa" w:w="9432"/>
            <w:shd w:fill="F8ECE7"/>
          </w:tcPr>
          <w:p>
            <w:pPr>
              <w:spacing w:before="120" w:after="40"/>
              <w:jc w:val="left"/>
            </w:pPr>
            <w:r/>
            <w:r>
              <w:rPr>
                <w:b/>
                <w:color w:val="C4664D"/>
                <w:sz w:val="19"/>
              </w:rPr>
              <w:t>The rule this report adopts</w:t>
            </w:r>
          </w:p>
          <w:p>
            <w:pPr>
              <w:spacing w:after="120"/>
              <w:jc w:val="left"/>
            </w:pPr>
            <w:r>
              <w:rPr>
                <w:sz w:val="18"/>
              </w:rPr>
              <w:t>A clustering score is only meaningful once every cluster is large enough to describe. Any solution containing a cluster below 2% of the data is discarded before the best remaining solution is chosen. Applying that filter leaves ward at k = 3, with a silhouette of 0.145 and a smallest cluster of 319.</w:t>
            </w:r>
          </w:p>
        </w:tc>
      </w:tr>
    </w:tbl>
    <w:p>
      <w:pPr>
        <w:spacing w:after="40"/>
      </w:pPr>
    </w:p>
    <w:p>
      <w:pPr>
        <w:spacing w:before="80" w:after="40"/>
        <w:jc w:val="center"/>
      </w:pPr>
      <w:r>
        <w:drawing>
          <wp:inline xmlns:a="http://schemas.openxmlformats.org/drawingml/2006/main" xmlns:pic="http://schemas.openxmlformats.org/drawingml/2006/picture">
            <wp:extent cx="5760720" cy="2234815"/>
            <wp:docPr id="8" name="Picture 8"/>
            <wp:cNvGraphicFramePr>
              <a:graphicFrameLocks noChangeAspect="1"/>
            </wp:cNvGraphicFramePr>
            <a:graphic>
              <a:graphicData uri="http://schemas.openxmlformats.org/drawingml/2006/picture">
                <pic:pic>
                  <pic:nvPicPr>
                    <pic:cNvPr id="0" name="05_dendrogram.png"/>
                    <pic:cNvPicPr/>
                  </pic:nvPicPr>
                  <pic:blipFill>
                    <a:blip r:embed="rId18"/>
                    <a:stretch>
                      <a:fillRect/>
                    </a:stretch>
                  </pic:blipFill>
                  <pic:spPr>
                    <a:xfrm>
                      <a:off x="0" y="0"/>
                      <a:ext cx="5760720" cy="2234815"/>
                    </a:xfrm>
                    <a:prstGeom prst="rect"/>
                  </pic:spPr>
                </pic:pic>
              </a:graphicData>
            </a:graphic>
          </wp:inline>
        </w:drawing>
      </w:r>
    </w:p>
    <w:p>
      <w:pPr>
        <w:spacing w:before="40" w:after="200"/>
        <w:jc w:val="center"/>
      </w:pPr>
      <w:r>
        <w:rPr>
          <w:i/>
          <w:color w:val="7A8794"/>
          <w:sz w:val="16"/>
        </w:rPr>
        <w:t>Figure 8 — Ward dendrogram, truncated to the top 24 merges. The dashed line marks the cut that produces three clusters; numbers in brackets are the records fused into each branch.</w:t>
      </w:r>
    </w:p>
    <w:p>
      <w:r>
        <w:rPr>
          <w:i w:val="0"/>
        </w:rPr>
        <w:t>Ward's tree shows three clear branches surviving to the last joins, and the height difference between the third and fourth merge is the visual justification for cutting at k = 3. The resulting clusters contain 801, 680 and 319 customers — comfortably above the degenerate threshold.</w:t>
      </w:r>
    </w:p>
    <w:p>
      <w:pPr>
        <w:pStyle w:val="Heading1"/>
      </w:pPr>
      <w:r>
        <w:t>9. Do the clusters explain churn?</w:t>
      </w:r>
    </w:p>
    <w:p>
      <w:r>
        <w:rPr>
          <w:i w:val="0"/>
        </w:rPr>
        <w:t>This is the question the whole report turns on, and it is asked in a way that cannot cheat. The churn label played no part in fitting either clustering. Comparing the two afterwards is therefore a genuine external check, not a circular one.</w:t>
      </w:r>
    </w:p>
    <w:p>
      <w:r>
        <w:rPr>
          <w:i w:val="0"/>
        </w:rPr>
        <w:t>The Adjusted Rand Index measures agreement between two partitions, corrected for what agreement would occur by chance. A value of 1 means identical partitions, 0 means no better than random, and negative values mean worse than random.</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2520"/>
            <w:vAlign w:val="center"/>
            <w:shd w:fill="17324D"/>
          </w:tcPr>
          <w:p>
            <w:pPr>
              <w:spacing w:after="40" w:before="40"/>
            </w:pPr>
            <w:r/>
            <w:r>
              <w:rPr>
                <w:b/>
                <w:color w:val="FFFFFF"/>
                <w:sz w:val="17"/>
              </w:rPr>
              <w:t>Comparison</w:t>
            </w:r>
          </w:p>
        </w:tc>
        <w:tc>
          <w:tcPr>
            <w:tcW w:type="dxa" w:w="1224"/>
            <w:vAlign w:val="center"/>
            <w:shd w:fill="17324D"/>
          </w:tcPr>
          <w:p>
            <w:pPr>
              <w:spacing w:after="40" w:before="40"/>
            </w:pPr>
            <w:r/>
            <w:r>
              <w:rPr>
                <w:b/>
                <w:color w:val="FFFFFF"/>
                <w:sz w:val="17"/>
              </w:rPr>
              <w:t>ARI</w:t>
            </w:r>
          </w:p>
        </w:tc>
        <w:tc>
          <w:tcPr>
            <w:tcW w:type="dxa" w:w="1152"/>
            <w:vAlign w:val="center"/>
            <w:shd w:fill="17324D"/>
          </w:tcPr>
          <w:p>
            <w:pPr>
              <w:spacing w:after="40" w:before="40"/>
            </w:pPr>
            <w:r/>
            <w:r>
              <w:rPr>
                <w:b/>
                <w:color w:val="FFFFFF"/>
                <w:sz w:val="17"/>
              </w:rPr>
              <w:t>AMI</w:t>
            </w:r>
          </w:p>
        </w:tc>
        <w:tc>
          <w:tcPr>
            <w:tcW w:type="dxa" w:w="4536"/>
            <w:vAlign w:val="center"/>
            <w:shd w:fill="17324D"/>
          </w:tcPr>
          <w:p>
            <w:pPr>
              <w:spacing w:after="40" w:before="40"/>
            </w:pPr>
            <w:r/>
            <w:r>
              <w:rPr>
                <w:b/>
                <w:color w:val="FFFFFF"/>
                <w:sz w:val="17"/>
              </w:rPr>
              <w:t>Interpretation</w:t>
            </w:r>
          </w:p>
        </w:tc>
      </w:tr>
      <w:tr>
        <w:trPr>
          <w:cantSplit w:val="true"/>
        </w:trPr>
        <w:tc>
          <w:tcPr>
            <w:tcW w:type="dxa" w:w="2520"/>
            <w:vAlign w:val="center"/>
          </w:tcPr>
          <w:p>
            <w:pPr>
              <w:spacing w:after="40" w:before="40"/>
            </w:pPr>
            <w:r/>
            <w:r>
              <w:rPr>
                <w:sz w:val="17"/>
              </w:rPr>
              <w:t>K-Means vs Ward</w:t>
            </w:r>
          </w:p>
        </w:tc>
        <w:tc>
          <w:tcPr>
            <w:tcW w:type="dxa" w:w="1224"/>
            <w:vAlign w:val="center"/>
          </w:tcPr>
          <w:p>
            <w:pPr>
              <w:spacing w:after="40" w:before="40"/>
              <w:jc w:val="right"/>
            </w:pPr>
            <w:r/>
            <w:r>
              <w:rPr>
                <w:sz w:val="17"/>
              </w:rPr>
              <w:t>+0.732</w:t>
            </w:r>
          </w:p>
        </w:tc>
        <w:tc>
          <w:tcPr>
            <w:tcW w:type="dxa" w:w="1152"/>
            <w:vAlign w:val="center"/>
          </w:tcPr>
          <w:p>
            <w:pPr>
              <w:spacing w:after="40" w:before="40"/>
              <w:jc w:val="right"/>
            </w:pPr>
            <w:r/>
            <w:r>
              <w:rPr>
                <w:sz w:val="17"/>
              </w:rPr>
              <w:t>0.733</w:t>
            </w:r>
          </w:p>
        </w:tc>
        <w:tc>
          <w:tcPr>
            <w:tcW w:type="dxa" w:w="4536"/>
            <w:vAlign w:val="center"/>
          </w:tcPr>
          <w:p>
            <w:pPr>
              <w:spacing w:after="40" w:before="40"/>
              <w:jc w:val="right"/>
            </w:pPr>
            <w:r/>
            <w:r>
              <w:rPr>
                <w:sz w:val="17"/>
              </w:rPr>
              <w:t>two clusterings, same data</w:t>
            </w:r>
          </w:p>
        </w:tc>
      </w:tr>
      <w:tr>
        <w:trPr>
          <w:cantSplit w:val="true"/>
        </w:trPr>
        <w:tc>
          <w:tcPr>
            <w:tcW w:type="dxa" w:w="2520"/>
            <w:vAlign w:val="center"/>
            <w:shd w:fill="F1F5F9"/>
          </w:tcPr>
          <w:p>
            <w:pPr>
              <w:spacing w:after="40" w:before="40"/>
            </w:pPr>
            <w:r/>
            <w:r>
              <w:rPr>
                <w:sz w:val="17"/>
              </w:rPr>
              <w:t>K-Means vs churn</w:t>
            </w:r>
          </w:p>
        </w:tc>
        <w:tc>
          <w:tcPr>
            <w:tcW w:type="dxa" w:w="1224"/>
            <w:vAlign w:val="center"/>
            <w:shd w:fill="F1F5F9"/>
          </w:tcPr>
          <w:p>
            <w:pPr>
              <w:spacing w:after="40" w:before="40"/>
              <w:jc w:val="right"/>
            </w:pPr>
            <w:r/>
            <w:r>
              <w:rPr>
                <w:sz w:val="17"/>
              </w:rPr>
              <w:t>+0.015</w:t>
            </w:r>
          </w:p>
        </w:tc>
        <w:tc>
          <w:tcPr>
            <w:tcW w:type="dxa" w:w="1152"/>
            <w:vAlign w:val="center"/>
            <w:shd w:fill="F1F5F9"/>
          </w:tcPr>
          <w:p>
            <w:pPr>
              <w:spacing w:after="40" w:before="40"/>
              <w:jc w:val="right"/>
            </w:pPr>
            <w:r/>
            <w:r>
              <w:rPr>
                <w:sz w:val="17"/>
              </w:rPr>
              <w:t>—</w:t>
            </w:r>
          </w:p>
        </w:tc>
        <w:tc>
          <w:tcPr>
            <w:tcW w:type="dxa" w:w="4536"/>
            <w:vAlign w:val="center"/>
            <w:shd w:fill="F1F5F9"/>
          </w:tcPr>
          <w:p>
            <w:pPr>
              <w:spacing w:after="40" w:before="40"/>
              <w:jc w:val="right"/>
            </w:pPr>
            <w:r/>
            <w:r>
              <w:rPr>
                <w:sz w:val="17"/>
              </w:rPr>
              <w:t>clusters against the label</w:t>
            </w:r>
          </w:p>
        </w:tc>
      </w:tr>
      <w:tr>
        <w:trPr>
          <w:cantSplit w:val="true"/>
        </w:trPr>
        <w:tc>
          <w:tcPr>
            <w:tcW w:type="dxa" w:w="2520"/>
            <w:vAlign w:val="center"/>
          </w:tcPr>
          <w:p>
            <w:pPr>
              <w:spacing w:after="40" w:before="40"/>
            </w:pPr>
            <w:r/>
            <w:r>
              <w:rPr>
                <w:sz w:val="17"/>
              </w:rPr>
              <w:t>Ward vs churn</w:t>
            </w:r>
          </w:p>
        </w:tc>
        <w:tc>
          <w:tcPr>
            <w:tcW w:type="dxa" w:w="1224"/>
            <w:vAlign w:val="center"/>
          </w:tcPr>
          <w:p>
            <w:pPr>
              <w:spacing w:after="40" w:before="40"/>
              <w:jc w:val="right"/>
            </w:pPr>
            <w:r/>
            <w:r>
              <w:rPr>
                <w:sz w:val="17"/>
              </w:rPr>
              <w:t>+0.010</w:t>
            </w:r>
          </w:p>
        </w:tc>
        <w:tc>
          <w:tcPr>
            <w:tcW w:type="dxa" w:w="1152"/>
            <w:vAlign w:val="center"/>
          </w:tcPr>
          <w:p>
            <w:pPr>
              <w:spacing w:after="40" w:before="40"/>
              <w:jc w:val="right"/>
            </w:pPr>
            <w:r/>
            <w:r>
              <w:rPr>
                <w:sz w:val="17"/>
              </w:rPr>
              <w:t>—</w:t>
            </w:r>
          </w:p>
        </w:tc>
        <w:tc>
          <w:tcPr>
            <w:tcW w:type="dxa" w:w="4536"/>
            <w:vAlign w:val="center"/>
          </w:tcPr>
          <w:p>
            <w:pPr>
              <w:spacing w:after="40" w:before="40"/>
              <w:jc w:val="right"/>
            </w:pPr>
            <w:r/>
            <w:r>
              <w:rPr>
                <w:sz w:val="17"/>
              </w:rPr>
              <w:t>clusters against the label</w:t>
            </w:r>
          </w:p>
        </w:tc>
      </w:tr>
    </w:tbl>
    <w:p>
      <w:pPr>
        <w:spacing w:after="40" w:before="0"/>
      </w:pP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3960"/>
            <w:vAlign w:val="center"/>
            <w:shd w:fill="17324D"/>
          </w:tcPr>
          <w:p>
            <w:pPr>
              <w:spacing w:after="40" w:before="40"/>
            </w:pPr>
            <w:r/>
            <w:r>
              <w:rPr>
                <w:b/>
                <w:color w:val="FFFFFF"/>
                <w:sz w:val="17"/>
              </w:rPr>
              <w:t>Segment</w:t>
            </w:r>
          </w:p>
        </w:tc>
        <w:tc>
          <w:tcPr>
            <w:tcW w:type="dxa" w:w="1656"/>
            <w:vAlign w:val="center"/>
            <w:shd w:fill="17324D"/>
          </w:tcPr>
          <w:p>
            <w:pPr>
              <w:spacing w:after="40" w:before="40"/>
            </w:pPr>
            <w:r/>
            <w:r>
              <w:rPr>
                <w:b/>
                <w:color w:val="FFFFFF"/>
                <w:sz w:val="17"/>
              </w:rPr>
              <w:t>Stayed</w:t>
            </w:r>
          </w:p>
        </w:tc>
        <w:tc>
          <w:tcPr>
            <w:tcW w:type="dxa" w:w="1656"/>
            <w:vAlign w:val="center"/>
            <w:shd w:fill="17324D"/>
          </w:tcPr>
          <w:p>
            <w:pPr>
              <w:spacing w:after="40" w:before="40"/>
            </w:pPr>
            <w:r/>
            <w:r>
              <w:rPr>
                <w:b/>
                <w:color w:val="FFFFFF"/>
                <w:sz w:val="17"/>
              </w:rPr>
              <w:t>Churned</w:t>
            </w:r>
          </w:p>
        </w:tc>
        <w:tc>
          <w:tcPr>
            <w:tcW w:type="dxa" w:w="1584"/>
            <w:vAlign w:val="center"/>
            <w:shd w:fill="17324D"/>
          </w:tcPr>
          <w:p>
            <w:pPr>
              <w:spacing w:after="40" w:before="40"/>
            </w:pPr>
            <w:r/>
            <w:r>
              <w:rPr>
                <w:b/>
                <w:color w:val="FFFFFF"/>
                <w:sz w:val="17"/>
              </w:rPr>
              <w:t>Churn rate</w:t>
            </w:r>
          </w:p>
        </w:tc>
      </w:tr>
      <w:tr>
        <w:trPr>
          <w:cantSplit w:val="true"/>
        </w:trPr>
        <w:tc>
          <w:tcPr>
            <w:tcW w:type="dxa" w:w="3960"/>
            <w:vAlign w:val="center"/>
          </w:tcPr>
          <w:p>
            <w:pPr>
              <w:spacing w:after="40" w:before="40"/>
            </w:pPr>
            <w:r/>
            <w:r>
              <w:rPr>
                <w:sz w:val="17"/>
              </w:rPr>
              <w:t>Long-tenure, high-spend</w:t>
            </w:r>
          </w:p>
        </w:tc>
        <w:tc>
          <w:tcPr>
            <w:tcW w:type="dxa" w:w="1656"/>
            <w:vAlign w:val="center"/>
          </w:tcPr>
          <w:p>
            <w:pPr>
              <w:spacing w:after="40" w:before="40"/>
              <w:jc w:val="right"/>
            </w:pPr>
            <w:r/>
            <w:r>
              <w:rPr>
                <w:sz w:val="17"/>
              </w:rPr>
              <w:t>477</w:t>
            </w:r>
          </w:p>
        </w:tc>
        <w:tc>
          <w:tcPr>
            <w:tcW w:type="dxa" w:w="1656"/>
            <w:vAlign w:val="center"/>
          </w:tcPr>
          <w:p>
            <w:pPr>
              <w:spacing w:after="40" w:before="40"/>
              <w:jc w:val="right"/>
            </w:pPr>
            <w:r/>
            <w:r>
              <w:rPr>
                <w:sz w:val="17"/>
              </w:rPr>
              <w:t>208</w:t>
            </w:r>
          </w:p>
        </w:tc>
        <w:tc>
          <w:tcPr>
            <w:tcW w:type="dxa" w:w="1584"/>
            <w:vAlign w:val="center"/>
          </w:tcPr>
          <w:p>
            <w:pPr>
              <w:spacing w:after="40" w:before="40"/>
              <w:jc w:val="right"/>
            </w:pPr>
            <w:r/>
            <w:r>
              <w:rPr>
                <w:sz w:val="17"/>
              </w:rPr>
              <w:t>30.4%</w:t>
            </w:r>
          </w:p>
        </w:tc>
      </w:tr>
      <w:tr>
        <w:trPr>
          <w:cantSplit w:val="true"/>
        </w:trPr>
        <w:tc>
          <w:tcPr>
            <w:tcW w:type="dxa" w:w="3960"/>
            <w:vAlign w:val="center"/>
            <w:shd w:fill="F1F5F9"/>
          </w:tcPr>
          <w:p>
            <w:pPr>
              <w:spacing w:after="40" w:before="40"/>
            </w:pPr>
            <w:r/>
            <w:r>
              <w:rPr>
                <w:sz w:val="17"/>
              </w:rPr>
              <w:t>Short-tenure, low-spend</w:t>
            </w:r>
          </w:p>
        </w:tc>
        <w:tc>
          <w:tcPr>
            <w:tcW w:type="dxa" w:w="1656"/>
            <w:vAlign w:val="center"/>
            <w:shd w:fill="F1F5F9"/>
          </w:tcPr>
          <w:p>
            <w:pPr>
              <w:spacing w:after="40" w:before="40"/>
              <w:jc w:val="right"/>
            </w:pPr>
            <w:r/>
            <w:r>
              <w:rPr>
                <w:sz w:val="17"/>
              </w:rPr>
              <w:t>623</w:t>
            </w:r>
          </w:p>
        </w:tc>
        <w:tc>
          <w:tcPr>
            <w:tcW w:type="dxa" w:w="1656"/>
            <w:vAlign w:val="center"/>
            <w:shd w:fill="F1F5F9"/>
          </w:tcPr>
          <w:p>
            <w:pPr>
              <w:spacing w:after="40" w:before="40"/>
              <w:jc w:val="right"/>
            </w:pPr>
            <w:r/>
            <w:r>
              <w:rPr>
                <w:sz w:val="17"/>
              </w:rPr>
              <w:t>174</w:t>
            </w:r>
          </w:p>
        </w:tc>
        <w:tc>
          <w:tcPr>
            <w:tcW w:type="dxa" w:w="1584"/>
            <w:vAlign w:val="center"/>
            <w:shd w:fill="F1F5F9"/>
          </w:tcPr>
          <w:p>
            <w:pPr>
              <w:spacing w:after="40" w:before="40"/>
              <w:jc w:val="right"/>
            </w:pPr>
            <w:r/>
            <w:r>
              <w:rPr>
                <w:sz w:val="17"/>
              </w:rPr>
              <w:t>21.8%</w:t>
            </w:r>
          </w:p>
        </w:tc>
      </w:tr>
      <w:tr>
        <w:trPr>
          <w:cantSplit w:val="true"/>
        </w:trPr>
        <w:tc>
          <w:tcPr>
            <w:tcW w:type="dxa" w:w="3960"/>
            <w:vAlign w:val="center"/>
          </w:tcPr>
          <w:p>
            <w:pPr>
              <w:spacing w:after="40" w:before="40"/>
            </w:pPr>
            <w:r/>
            <w:r>
              <w:rPr>
                <w:sz w:val="17"/>
              </w:rPr>
              <w:t>Senior segment</w:t>
            </w:r>
          </w:p>
        </w:tc>
        <w:tc>
          <w:tcPr>
            <w:tcW w:type="dxa" w:w="1656"/>
            <w:vAlign w:val="center"/>
          </w:tcPr>
          <w:p>
            <w:pPr>
              <w:spacing w:after="40" w:before="40"/>
              <w:jc w:val="right"/>
            </w:pPr>
            <w:r/>
            <w:r>
              <w:rPr>
                <w:sz w:val="17"/>
              </w:rPr>
              <w:t>220</w:t>
            </w:r>
          </w:p>
        </w:tc>
        <w:tc>
          <w:tcPr>
            <w:tcW w:type="dxa" w:w="1656"/>
            <w:vAlign w:val="center"/>
          </w:tcPr>
          <w:p>
            <w:pPr>
              <w:spacing w:after="40" w:before="40"/>
              <w:jc w:val="right"/>
            </w:pPr>
            <w:r/>
            <w:r>
              <w:rPr>
                <w:sz w:val="17"/>
              </w:rPr>
              <w:t>98</w:t>
            </w:r>
          </w:p>
        </w:tc>
        <w:tc>
          <w:tcPr>
            <w:tcW w:type="dxa" w:w="1584"/>
            <w:vAlign w:val="center"/>
          </w:tcPr>
          <w:p>
            <w:pPr>
              <w:spacing w:after="40" w:before="40"/>
              <w:jc w:val="right"/>
            </w:pPr>
            <w:r/>
            <w:r>
              <w:rPr>
                <w:sz w:val="17"/>
              </w:rPr>
              <w:t>30.8%</w:t>
            </w:r>
          </w:p>
        </w:tc>
      </w:tr>
    </w:tbl>
    <w:p>
      <w:pPr>
        <w:spacing w:after="40" w:before="0"/>
      </w:pPr>
    </w:p>
    <w:p>
      <w:pPr>
        <w:spacing w:before="80" w:after="40"/>
        <w:jc w:val="center"/>
      </w:pPr>
      <w:r>
        <w:drawing>
          <wp:inline xmlns:a="http://schemas.openxmlformats.org/drawingml/2006/main" xmlns:pic="http://schemas.openxmlformats.org/drawingml/2006/picture">
            <wp:extent cx="5715000" cy="2069884"/>
            <wp:docPr id="9" name="Picture 9"/>
            <wp:cNvGraphicFramePr>
              <a:graphicFrameLocks noChangeAspect="1"/>
            </wp:cNvGraphicFramePr>
            <a:graphic>
              <a:graphicData uri="http://schemas.openxmlformats.org/drawingml/2006/picture">
                <pic:pic>
                  <pic:nvPicPr>
                    <pic:cNvPr id="0" name="08_clusters_vs_churn.png"/>
                    <pic:cNvPicPr/>
                  </pic:nvPicPr>
                  <pic:blipFill>
                    <a:blip r:embed="rId19"/>
                    <a:stretch>
                      <a:fillRect/>
                    </a:stretch>
                  </pic:blipFill>
                  <pic:spPr>
                    <a:xfrm>
                      <a:off x="0" y="0"/>
                      <a:ext cx="5715000" cy="2069884"/>
                    </a:xfrm>
                    <a:prstGeom prst="rect"/>
                  </pic:spPr>
                </pic:pic>
              </a:graphicData>
            </a:graphic>
          </wp:inline>
        </w:drawing>
      </w:r>
    </w:p>
    <w:p>
      <w:pPr>
        <w:spacing w:before="40" w:after="200"/>
        <w:jc w:val="center"/>
      </w:pPr>
      <w:r>
        <w:rPr>
          <w:i/>
          <w:color w:val="7A8794"/>
          <w:sz w:val="16"/>
        </w:rPr>
        <w:t>Figure 9 — Left: every cluster contains churners at a similar rate. Right: the agreement indices. The two clusterings agree with each other; neither agrees with churn.</w:t>
      </w:r>
    </w:p>
    <w:p>
      <w:r>
        <w:rPr>
          <w:i w:val="0"/>
        </w:rPr>
        <w:t>The churn rate is 30.4%, 21.8% and 30.8% across the three segments, against an overall rate of 26.7%. The full spread is 9.0%. Knowing which segment a customer belongs to moves the predicted churn rate by less than ten percentage points around a base rate of twenty-seven.</w:t>
      </w: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jc w:val="left"/>
            </w:pPr>
            <w:r/>
            <w:r>
              <w:rPr>
                <w:b/>
                <w:color w:val="237A7A"/>
                <w:sz w:val="19"/>
              </w:rPr>
              <w:t>Two conclusions, and they are not in conflict</w:t>
            </w:r>
          </w:p>
          <w:p>
            <w:pPr>
              <w:spacing w:after="120"/>
              <w:jc w:val="left"/>
            </w:pPr>
            <w:r>
              <w:rPr>
                <w:sz w:val="18"/>
              </w:rPr>
              <w:t>First: the segments are real. Two algorithms built on completely different logic recover almost the same partition (ARI +0.732 between them), and the same senior-citizen group emerges in both. Structure this reproducible is not an artefact. Second: that structure is not churn (ARI +0.015 against the label). Customer segments and customer behaviour are different things, and no clustering algorithm can supply the one that was never in the features.</w:t>
            </w:r>
          </w:p>
        </w:tc>
      </w:tr>
    </w:tbl>
    <w:p>
      <w:pPr>
        <w:spacing w:after="40"/>
      </w:pPr>
    </w:p>
    <w:p>
      <w:r>
        <w:rPr>
          <w:i w:val="0"/>
        </w:rPr>
        <w:t>This result is the reason Part B exists. If clustering had recovered churn, a supervised model would be redundant. It did not, so the label has to be modelled directly — and once it is, the question becomes how to measure whether the prediction is any good.</w:t>
      </w:r>
    </w:p>
    <w:p>
      <w:pPr>
        <w:pStyle w:val="Heading1"/>
      </w:pPr>
      <w:r>
        <w:t>10. Clustering after dimensionality reduction</w:t>
      </w:r>
    </w:p>
    <w:p>
      <w:r>
        <w:rPr>
          <w:i w:val="0"/>
        </w:rPr>
        <w:t>A tempting shortcut is to run PCA first and cluster in two or three dimensions, where the result can be plotted and inspected. It is worth measuring what that actually does, rather than assuming it is harmless.</w:t>
      </w:r>
    </w:p>
    <w:p>
      <w:r>
        <w:rPr>
          <w:i w:val="0"/>
        </w:rPr>
        <w:t>The experiment clusters the projected data, then scores the resulting labels twice: once in the reduced space, which is what a careless analysis would report, and once in the original 21-dimensional space, which is what the labels actually mean.</w:t>
      </w:r>
    </w:p>
    <w:tbl>
      <w:tblPr>
        <w:tblStyle w:val="TableGrid"/>
        <w:tblW w:type="auto" w:w="0"/>
        <w:jc w:val="center"/>
        <w:tblLayout w:type="fixed"/>
        <w:tblLook w:firstColumn="1" w:firstRow="1" w:lastColumn="0" w:lastRow="0" w:noHBand="0" w:noVBand="1" w:val="04A0"/>
      </w:tblPr>
      <w:tblGrid>
        <w:gridCol w:w="1953"/>
        <w:gridCol w:w="1953"/>
        <w:gridCol w:w="1953"/>
        <w:gridCol w:w="1953"/>
        <w:gridCol w:w="1953"/>
      </w:tblGrid>
      <w:tr>
        <w:trPr>
          <w:tblHeader w:val="true"/>
          <w:cantSplit w:val="true"/>
        </w:trPr>
        <w:tc>
          <w:tcPr>
            <w:tcW w:type="dxa" w:w="1944"/>
            <w:vAlign w:val="center"/>
            <w:shd w:fill="17324D"/>
          </w:tcPr>
          <w:p>
            <w:pPr>
              <w:spacing w:after="40" w:before="40"/>
            </w:pPr>
            <w:r/>
            <w:r>
              <w:rPr>
                <w:b/>
                <w:color w:val="FFFFFF"/>
                <w:sz w:val="17"/>
              </w:rPr>
              <w:t>Components kept</w:t>
            </w:r>
          </w:p>
        </w:tc>
        <w:tc>
          <w:tcPr>
            <w:tcW w:type="dxa" w:w="1872"/>
            <w:vAlign w:val="center"/>
            <w:shd w:fill="17324D"/>
          </w:tcPr>
          <w:p>
            <w:pPr>
              <w:spacing w:after="40" w:before="40"/>
            </w:pPr>
            <w:r/>
            <w:r>
              <w:rPr>
                <w:b/>
                <w:color w:val="FFFFFF"/>
                <w:sz w:val="17"/>
              </w:rPr>
              <w:t>Variance retained</w:t>
            </w:r>
          </w:p>
        </w:tc>
        <w:tc>
          <w:tcPr>
            <w:tcW w:type="dxa" w:w="2304"/>
            <w:vAlign w:val="center"/>
            <w:shd w:fill="17324D"/>
          </w:tcPr>
          <w:p>
            <w:pPr>
              <w:spacing w:after="40" w:before="40"/>
            </w:pPr>
            <w:r/>
            <w:r>
              <w:rPr>
                <w:b/>
                <w:color w:val="FFFFFF"/>
                <w:sz w:val="17"/>
              </w:rPr>
              <w:t>Silhouette in reduced space</w:t>
            </w:r>
          </w:p>
        </w:tc>
        <w:tc>
          <w:tcPr>
            <w:tcW w:type="dxa" w:w="2232"/>
            <w:vAlign w:val="center"/>
            <w:shd w:fill="17324D"/>
          </w:tcPr>
          <w:p>
            <w:pPr>
              <w:spacing w:after="40" w:before="40"/>
            </w:pPr>
            <w:r/>
            <w:r>
              <w:rPr>
                <w:b/>
                <w:color w:val="FFFFFF"/>
                <w:sz w:val="17"/>
              </w:rPr>
              <w:t>Silhouette in original space</w:t>
            </w:r>
          </w:p>
        </w:tc>
        <w:tc>
          <w:tcPr>
            <w:tcW w:type="dxa" w:w="1368"/>
            <w:vAlign w:val="center"/>
            <w:shd w:fill="17324D"/>
          </w:tcPr>
          <w:p>
            <w:pPr>
              <w:spacing w:after="40" w:before="40"/>
            </w:pPr>
            <w:r/>
            <w:r>
              <w:rPr>
                <w:b/>
                <w:color w:val="FFFFFF"/>
                <w:sz w:val="17"/>
              </w:rPr>
              <w:t>Inflation</w:t>
            </w:r>
          </w:p>
        </w:tc>
      </w:tr>
      <w:tr>
        <w:trPr>
          <w:cantSplit w:val="true"/>
        </w:trPr>
        <w:tc>
          <w:tcPr>
            <w:tcW w:type="dxa" w:w="1944"/>
            <w:vAlign w:val="center"/>
          </w:tcPr>
          <w:p>
            <w:pPr>
              <w:spacing w:after="40" w:before="40"/>
            </w:pPr>
            <w:r/>
            <w:r>
              <w:rPr>
                <w:sz w:val="17"/>
              </w:rPr>
              <w:t>2</w:t>
            </w:r>
          </w:p>
        </w:tc>
        <w:tc>
          <w:tcPr>
            <w:tcW w:type="dxa" w:w="1872"/>
            <w:vAlign w:val="center"/>
          </w:tcPr>
          <w:p>
            <w:pPr>
              <w:spacing w:after="40" w:before="40"/>
              <w:jc w:val="right"/>
            </w:pPr>
            <w:r/>
            <w:r>
              <w:rPr>
                <w:sz w:val="17"/>
              </w:rPr>
              <w:t>39.2%</w:t>
            </w:r>
          </w:p>
        </w:tc>
        <w:tc>
          <w:tcPr>
            <w:tcW w:type="dxa" w:w="2304"/>
            <w:vAlign w:val="center"/>
          </w:tcPr>
          <w:p>
            <w:pPr>
              <w:spacing w:after="40" w:before="40"/>
              <w:jc w:val="right"/>
            </w:pPr>
            <w:r/>
            <w:r>
              <w:rPr>
                <w:sz w:val="17"/>
              </w:rPr>
              <w:t>0.389</w:t>
            </w:r>
          </w:p>
        </w:tc>
        <w:tc>
          <w:tcPr>
            <w:tcW w:type="dxa" w:w="2232"/>
            <w:vAlign w:val="center"/>
          </w:tcPr>
          <w:p>
            <w:pPr>
              <w:spacing w:after="40" w:before="40"/>
              <w:jc w:val="right"/>
            </w:pPr>
            <w:r/>
            <w:r>
              <w:rPr>
                <w:sz w:val="17"/>
              </w:rPr>
              <w:t>0.135</w:t>
            </w:r>
          </w:p>
        </w:tc>
        <w:tc>
          <w:tcPr>
            <w:tcW w:type="dxa" w:w="1368"/>
            <w:vAlign w:val="center"/>
          </w:tcPr>
          <w:p>
            <w:pPr>
              <w:spacing w:after="40" w:before="40"/>
              <w:jc w:val="right"/>
            </w:pPr>
            <w:r/>
            <w:r>
              <w:rPr>
                <w:sz w:val="17"/>
              </w:rPr>
              <w:t>+0.254</w:t>
            </w:r>
          </w:p>
        </w:tc>
      </w:tr>
      <w:tr>
        <w:trPr>
          <w:cantSplit w:val="true"/>
        </w:trPr>
        <w:tc>
          <w:tcPr>
            <w:tcW w:type="dxa" w:w="1944"/>
            <w:vAlign w:val="center"/>
            <w:shd w:fill="F1F5F9"/>
          </w:tcPr>
          <w:p>
            <w:pPr>
              <w:spacing w:after="40" w:before="40"/>
            </w:pPr>
            <w:r/>
            <w:r>
              <w:rPr>
                <w:sz w:val="17"/>
              </w:rPr>
              <w:t>3</w:t>
            </w:r>
          </w:p>
        </w:tc>
        <w:tc>
          <w:tcPr>
            <w:tcW w:type="dxa" w:w="1872"/>
            <w:vAlign w:val="center"/>
            <w:shd w:fill="F1F5F9"/>
          </w:tcPr>
          <w:p>
            <w:pPr>
              <w:spacing w:after="40" w:before="40"/>
              <w:jc w:val="right"/>
            </w:pPr>
            <w:r/>
            <w:r>
              <w:rPr>
                <w:sz w:val="17"/>
              </w:rPr>
              <w:t>51.3%</w:t>
            </w:r>
          </w:p>
        </w:tc>
        <w:tc>
          <w:tcPr>
            <w:tcW w:type="dxa" w:w="2304"/>
            <w:vAlign w:val="center"/>
            <w:shd w:fill="F1F5F9"/>
          </w:tcPr>
          <w:p>
            <w:pPr>
              <w:spacing w:after="40" w:before="40"/>
              <w:jc w:val="right"/>
            </w:pPr>
            <w:r/>
            <w:r>
              <w:rPr>
                <w:sz w:val="17"/>
              </w:rPr>
              <w:t>0.359</w:t>
            </w:r>
          </w:p>
        </w:tc>
        <w:tc>
          <w:tcPr>
            <w:tcW w:type="dxa" w:w="2232"/>
            <w:vAlign w:val="center"/>
            <w:shd w:fill="F1F5F9"/>
          </w:tcPr>
          <w:p>
            <w:pPr>
              <w:spacing w:after="40" w:before="40"/>
              <w:jc w:val="right"/>
            </w:pPr>
            <w:r/>
            <w:r>
              <w:rPr>
                <w:sz w:val="17"/>
              </w:rPr>
              <w:t>0.163</w:t>
            </w:r>
          </w:p>
        </w:tc>
        <w:tc>
          <w:tcPr>
            <w:tcW w:type="dxa" w:w="1368"/>
            <w:vAlign w:val="center"/>
            <w:shd w:fill="F1F5F9"/>
          </w:tcPr>
          <w:p>
            <w:pPr>
              <w:spacing w:after="40" w:before="40"/>
              <w:jc w:val="right"/>
            </w:pPr>
            <w:r/>
            <w:r>
              <w:rPr>
                <w:sz w:val="17"/>
              </w:rPr>
              <w:t>+0.196</w:t>
            </w:r>
          </w:p>
        </w:tc>
      </w:tr>
      <w:tr>
        <w:trPr>
          <w:cantSplit w:val="true"/>
        </w:trPr>
        <w:tc>
          <w:tcPr>
            <w:tcW w:type="dxa" w:w="1944"/>
            <w:vAlign w:val="center"/>
          </w:tcPr>
          <w:p>
            <w:pPr>
              <w:spacing w:after="40" w:before="40"/>
            </w:pPr>
            <w:r/>
            <w:r>
              <w:rPr>
                <w:sz w:val="17"/>
              </w:rPr>
              <w:t>5</w:t>
            </w:r>
          </w:p>
        </w:tc>
        <w:tc>
          <w:tcPr>
            <w:tcW w:type="dxa" w:w="1872"/>
            <w:vAlign w:val="center"/>
          </w:tcPr>
          <w:p>
            <w:pPr>
              <w:spacing w:after="40" w:before="40"/>
              <w:jc w:val="right"/>
            </w:pPr>
            <w:r/>
            <w:r>
              <w:rPr>
                <w:sz w:val="17"/>
              </w:rPr>
              <w:t>68.5%</w:t>
            </w:r>
          </w:p>
        </w:tc>
        <w:tc>
          <w:tcPr>
            <w:tcW w:type="dxa" w:w="2304"/>
            <w:vAlign w:val="center"/>
          </w:tcPr>
          <w:p>
            <w:pPr>
              <w:spacing w:after="40" w:before="40"/>
              <w:jc w:val="right"/>
            </w:pPr>
            <w:r/>
            <w:r>
              <w:rPr>
                <w:sz w:val="17"/>
              </w:rPr>
              <w:t>0.256</w:t>
            </w:r>
          </w:p>
        </w:tc>
        <w:tc>
          <w:tcPr>
            <w:tcW w:type="dxa" w:w="2232"/>
            <w:vAlign w:val="center"/>
          </w:tcPr>
          <w:p>
            <w:pPr>
              <w:spacing w:after="40" w:before="40"/>
              <w:jc w:val="right"/>
            </w:pPr>
            <w:r/>
            <w:r>
              <w:rPr>
                <w:sz w:val="17"/>
              </w:rPr>
              <w:t>0.162</w:t>
            </w:r>
          </w:p>
        </w:tc>
        <w:tc>
          <w:tcPr>
            <w:tcW w:type="dxa" w:w="1368"/>
            <w:vAlign w:val="center"/>
          </w:tcPr>
          <w:p>
            <w:pPr>
              <w:spacing w:after="40" w:before="40"/>
              <w:jc w:val="right"/>
            </w:pPr>
            <w:r/>
            <w:r>
              <w:rPr>
                <w:sz w:val="17"/>
              </w:rPr>
              <w:t>+0.093</w:t>
            </w:r>
          </w:p>
        </w:tc>
      </w:tr>
      <w:tr>
        <w:trPr>
          <w:cantSplit w:val="true"/>
        </w:trPr>
        <w:tc>
          <w:tcPr>
            <w:tcW w:type="dxa" w:w="1944"/>
            <w:vAlign w:val="center"/>
            <w:shd w:fill="F1F5F9"/>
          </w:tcPr>
          <w:p>
            <w:pPr>
              <w:spacing w:after="40" w:before="40"/>
            </w:pPr>
            <w:r/>
            <w:r>
              <w:rPr>
                <w:sz w:val="17"/>
              </w:rPr>
              <w:t>8</w:t>
            </w:r>
          </w:p>
        </w:tc>
        <w:tc>
          <w:tcPr>
            <w:tcW w:type="dxa" w:w="1872"/>
            <w:vAlign w:val="center"/>
            <w:shd w:fill="F1F5F9"/>
          </w:tcPr>
          <w:p>
            <w:pPr>
              <w:spacing w:after="40" w:before="40"/>
              <w:jc w:val="right"/>
            </w:pPr>
            <w:r/>
            <w:r>
              <w:rPr>
                <w:sz w:val="17"/>
              </w:rPr>
              <w:t>83.1%</w:t>
            </w:r>
          </w:p>
        </w:tc>
        <w:tc>
          <w:tcPr>
            <w:tcW w:type="dxa" w:w="2304"/>
            <w:vAlign w:val="center"/>
            <w:shd w:fill="F1F5F9"/>
          </w:tcPr>
          <w:p>
            <w:pPr>
              <w:spacing w:after="40" w:before="40"/>
              <w:jc w:val="right"/>
            </w:pPr>
            <w:r/>
            <w:r>
              <w:rPr>
                <w:sz w:val="17"/>
              </w:rPr>
              <w:t>0.201</w:t>
            </w:r>
          </w:p>
        </w:tc>
        <w:tc>
          <w:tcPr>
            <w:tcW w:type="dxa" w:w="2232"/>
            <w:vAlign w:val="center"/>
            <w:shd w:fill="F1F5F9"/>
          </w:tcPr>
          <w:p>
            <w:pPr>
              <w:spacing w:after="40" w:before="40"/>
              <w:jc w:val="right"/>
            </w:pPr>
            <w:r/>
            <w:r>
              <w:rPr>
                <w:sz w:val="17"/>
              </w:rPr>
              <w:t>0.162</w:t>
            </w:r>
          </w:p>
        </w:tc>
        <w:tc>
          <w:tcPr>
            <w:tcW w:type="dxa" w:w="1368"/>
            <w:vAlign w:val="center"/>
            <w:shd w:fill="F1F5F9"/>
          </w:tcPr>
          <w:p>
            <w:pPr>
              <w:spacing w:after="40" w:before="40"/>
              <w:jc w:val="right"/>
            </w:pPr>
            <w:r/>
            <w:r>
              <w:rPr>
                <w:sz w:val="17"/>
              </w:rPr>
              <w:t>+0.039</w:t>
            </w:r>
          </w:p>
        </w:tc>
      </w:tr>
      <w:tr>
        <w:trPr>
          <w:cantSplit w:val="true"/>
        </w:trPr>
        <w:tc>
          <w:tcPr>
            <w:tcW w:type="dxa" w:w="1944"/>
            <w:vAlign w:val="center"/>
          </w:tcPr>
          <w:p>
            <w:pPr>
              <w:spacing w:after="40" w:before="40"/>
            </w:pPr>
            <w:r/>
            <w:r>
              <w:rPr>
                <w:sz w:val="17"/>
              </w:rPr>
              <w:t>10</w:t>
            </w:r>
          </w:p>
        </w:tc>
        <w:tc>
          <w:tcPr>
            <w:tcW w:type="dxa" w:w="1872"/>
            <w:vAlign w:val="center"/>
          </w:tcPr>
          <w:p>
            <w:pPr>
              <w:spacing w:after="40" w:before="40"/>
              <w:jc w:val="right"/>
            </w:pPr>
            <w:r/>
            <w:r>
              <w:rPr>
                <w:sz w:val="17"/>
              </w:rPr>
              <w:t>90.4%</w:t>
            </w:r>
          </w:p>
        </w:tc>
        <w:tc>
          <w:tcPr>
            <w:tcW w:type="dxa" w:w="2304"/>
            <w:vAlign w:val="center"/>
          </w:tcPr>
          <w:p>
            <w:pPr>
              <w:spacing w:after="40" w:before="40"/>
              <w:jc w:val="right"/>
            </w:pPr>
            <w:r/>
            <w:r>
              <w:rPr>
                <w:sz w:val="17"/>
              </w:rPr>
              <w:t>0.183</w:t>
            </w:r>
          </w:p>
        </w:tc>
        <w:tc>
          <w:tcPr>
            <w:tcW w:type="dxa" w:w="2232"/>
            <w:vAlign w:val="center"/>
          </w:tcPr>
          <w:p>
            <w:pPr>
              <w:spacing w:after="40" w:before="40"/>
              <w:jc w:val="right"/>
            </w:pPr>
            <w:r/>
            <w:r>
              <w:rPr>
                <w:sz w:val="17"/>
              </w:rPr>
              <w:t>0.162</w:t>
            </w:r>
          </w:p>
        </w:tc>
        <w:tc>
          <w:tcPr>
            <w:tcW w:type="dxa" w:w="1368"/>
            <w:vAlign w:val="center"/>
          </w:tcPr>
          <w:p>
            <w:pPr>
              <w:spacing w:after="40" w:before="40"/>
              <w:jc w:val="right"/>
            </w:pPr>
            <w:r/>
            <w:r>
              <w:rPr>
                <w:sz w:val="17"/>
              </w:rPr>
              <w:t>+0.020</w:t>
            </w:r>
          </w:p>
        </w:tc>
      </w:tr>
      <w:tr>
        <w:trPr>
          <w:cantSplit w:val="true"/>
        </w:trPr>
        <w:tc>
          <w:tcPr>
            <w:tcW w:type="dxa" w:w="1944"/>
            <w:vAlign w:val="center"/>
            <w:shd w:fill="F1F5F9"/>
          </w:tcPr>
          <w:p>
            <w:pPr>
              <w:spacing w:after="40" w:before="40"/>
            </w:pPr>
            <w:r/>
            <w:r>
              <w:rPr>
                <w:sz w:val="17"/>
              </w:rPr>
              <w:t>12</w:t>
            </w:r>
          </w:p>
        </w:tc>
        <w:tc>
          <w:tcPr>
            <w:tcW w:type="dxa" w:w="1872"/>
            <w:vAlign w:val="center"/>
            <w:shd w:fill="F1F5F9"/>
          </w:tcPr>
          <w:p>
            <w:pPr>
              <w:spacing w:after="40" w:before="40"/>
              <w:jc w:val="right"/>
            </w:pPr>
            <w:r/>
            <w:r>
              <w:rPr>
                <w:sz w:val="17"/>
              </w:rPr>
              <w:t>95.9%</w:t>
            </w:r>
          </w:p>
        </w:tc>
        <w:tc>
          <w:tcPr>
            <w:tcW w:type="dxa" w:w="2304"/>
            <w:vAlign w:val="center"/>
            <w:shd w:fill="F1F5F9"/>
          </w:tcPr>
          <w:p>
            <w:pPr>
              <w:spacing w:after="40" w:before="40"/>
              <w:jc w:val="right"/>
            </w:pPr>
            <w:r/>
            <w:r>
              <w:rPr>
                <w:sz w:val="17"/>
              </w:rPr>
              <w:t>0.170</w:t>
            </w:r>
          </w:p>
        </w:tc>
        <w:tc>
          <w:tcPr>
            <w:tcW w:type="dxa" w:w="2232"/>
            <w:vAlign w:val="center"/>
            <w:shd w:fill="F1F5F9"/>
          </w:tcPr>
          <w:p>
            <w:pPr>
              <w:spacing w:after="40" w:before="40"/>
              <w:jc w:val="right"/>
            </w:pPr>
            <w:r/>
            <w:r>
              <w:rPr>
                <w:sz w:val="17"/>
              </w:rPr>
              <w:t>0.162</w:t>
            </w:r>
          </w:p>
        </w:tc>
        <w:tc>
          <w:tcPr>
            <w:tcW w:type="dxa" w:w="1368"/>
            <w:vAlign w:val="center"/>
            <w:shd w:fill="F1F5F9"/>
          </w:tcPr>
          <w:p>
            <w:pPr>
              <w:spacing w:after="40" w:before="40"/>
              <w:jc w:val="right"/>
            </w:pPr>
            <w:r/>
            <w:r>
              <w:rPr>
                <w:sz w:val="17"/>
              </w:rPr>
              <w:t>+0.008</w:t>
            </w:r>
          </w:p>
        </w:tc>
      </w:tr>
      <w:tr>
        <w:trPr>
          <w:cantSplit w:val="true"/>
        </w:trPr>
        <w:tc>
          <w:tcPr>
            <w:tcW w:type="dxa" w:w="1944"/>
            <w:vAlign w:val="center"/>
          </w:tcPr>
          <w:p>
            <w:pPr>
              <w:spacing w:after="40" w:before="40"/>
            </w:pPr>
            <w:r/>
            <w:r>
              <w:rPr>
                <w:sz w:val="17"/>
              </w:rPr>
              <w:t>16</w:t>
            </w:r>
          </w:p>
        </w:tc>
        <w:tc>
          <w:tcPr>
            <w:tcW w:type="dxa" w:w="1872"/>
            <w:vAlign w:val="center"/>
          </w:tcPr>
          <w:p>
            <w:pPr>
              <w:spacing w:after="40" w:before="40"/>
              <w:jc w:val="right"/>
            </w:pPr>
            <w:r/>
            <w:r>
              <w:rPr>
                <w:sz w:val="17"/>
              </w:rPr>
              <w:t>100.0%</w:t>
            </w:r>
          </w:p>
        </w:tc>
        <w:tc>
          <w:tcPr>
            <w:tcW w:type="dxa" w:w="2304"/>
            <w:vAlign w:val="center"/>
          </w:tcPr>
          <w:p>
            <w:pPr>
              <w:spacing w:after="40" w:before="40"/>
              <w:jc w:val="right"/>
            </w:pPr>
            <w:r/>
            <w:r>
              <w:rPr>
                <w:sz w:val="17"/>
              </w:rPr>
              <w:t>0.162</w:t>
            </w:r>
          </w:p>
        </w:tc>
        <w:tc>
          <w:tcPr>
            <w:tcW w:type="dxa" w:w="2232"/>
            <w:vAlign w:val="center"/>
          </w:tcPr>
          <w:p>
            <w:pPr>
              <w:spacing w:after="40" w:before="40"/>
              <w:jc w:val="right"/>
            </w:pPr>
            <w:r/>
            <w:r>
              <w:rPr>
                <w:sz w:val="17"/>
              </w:rPr>
              <w:t>0.162</w:t>
            </w:r>
          </w:p>
        </w:tc>
        <w:tc>
          <w:tcPr>
            <w:tcW w:type="dxa" w:w="1368"/>
            <w:vAlign w:val="center"/>
          </w:tcPr>
          <w:p>
            <w:pPr>
              <w:spacing w:after="40" w:before="40"/>
              <w:jc w:val="right"/>
            </w:pPr>
            <w:r/>
            <w:r>
              <w:rPr>
                <w:sz w:val="17"/>
              </w:rPr>
              <w:t>-0.000</w:t>
            </w:r>
          </w:p>
        </w:tc>
      </w:tr>
      <w:tr>
        <w:trPr>
          <w:cantSplit w:val="true"/>
        </w:trPr>
        <w:tc>
          <w:tcPr>
            <w:tcW w:type="dxa" w:w="1944"/>
            <w:vAlign w:val="center"/>
            <w:shd w:fill="F1F5F9"/>
          </w:tcPr>
          <w:p>
            <w:pPr>
              <w:spacing w:after="40" w:before="40"/>
            </w:pPr>
            <w:r/>
            <w:r>
              <w:rPr>
                <w:sz w:val="17"/>
              </w:rPr>
              <w:t>21</w:t>
            </w:r>
          </w:p>
        </w:tc>
        <w:tc>
          <w:tcPr>
            <w:tcW w:type="dxa" w:w="1872"/>
            <w:vAlign w:val="center"/>
            <w:shd w:fill="F1F5F9"/>
          </w:tcPr>
          <w:p>
            <w:pPr>
              <w:spacing w:after="40" w:before="40"/>
              <w:jc w:val="right"/>
            </w:pPr>
            <w:r/>
            <w:r>
              <w:rPr>
                <w:sz w:val="17"/>
              </w:rPr>
              <w:t>100.0%</w:t>
            </w:r>
          </w:p>
        </w:tc>
        <w:tc>
          <w:tcPr>
            <w:tcW w:type="dxa" w:w="2304"/>
            <w:vAlign w:val="center"/>
            <w:shd w:fill="F1F5F9"/>
          </w:tcPr>
          <w:p>
            <w:pPr>
              <w:spacing w:after="40" w:before="40"/>
              <w:jc w:val="right"/>
            </w:pPr>
            <w:r/>
            <w:r>
              <w:rPr>
                <w:sz w:val="17"/>
              </w:rPr>
              <w:t>0.162</w:t>
            </w:r>
          </w:p>
        </w:tc>
        <w:tc>
          <w:tcPr>
            <w:tcW w:type="dxa" w:w="2232"/>
            <w:vAlign w:val="center"/>
            <w:shd w:fill="F1F5F9"/>
          </w:tcPr>
          <w:p>
            <w:pPr>
              <w:spacing w:after="40" w:before="40"/>
              <w:jc w:val="right"/>
            </w:pPr>
            <w:r/>
            <w:r>
              <w:rPr>
                <w:sz w:val="17"/>
              </w:rPr>
              <w:t>0.162</w:t>
            </w:r>
          </w:p>
        </w:tc>
        <w:tc>
          <w:tcPr>
            <w:tcW w:type="dxa" w:w="1368"/>
            <w:vAlign w:val="center"/>
            <w:shd w:fill="F1F5F9"/>
          </w:tcPr>
          <w:p>
            <w:pPr>
              <w:spacing w:after="40" w:before="40"/>
              <w:jc w:val="right"/>
            </w:pPr>
            <w:r/>
            <w:r>
              <w:rPr>
                <w:sz w:val="17"/>
              </w:rPr>
              <w:t>-0.000</w:t>
            </w:r>
          </w:p>
        </w:tc>
      </w:tr>
    </w:tbl>
    <w:p>
      <w:pPr>
        <w:spacing w:after="40" w:before="0"/>
      </w:pPr>
    </w:p>
    <w:p>
      <w:pPr>
        <w:spacing w:before="80" w:after="40"/>
        <w:jc w:val="center"/>
      </w:pPr>
      <w:r>
        <w:drawing>
          <wp:inline xmlns:a="http://schemas.openxmlformats.org/drawingml/2006/main" xmlns:pic="http://schemas.openxmlformats.org/drawingml/2006/picture">
            <wp:extent cx="5394960" cy="2502524"/>
            <wp:docPr id="10" name="Picture 10"/>
            <wp:cNvGraphicFramePr>
              <a:graphicFrameLocks noChangeAspect="1"/>
            </wp:cNvGraphicFramePr>
            <a:graphic>
              <a:graphicData uri="http://schemas.openxmlformats.org/drawingml/2006/picture">
                <pic:pic>
                  <pic:nvPicPr>
                    <pic:cNvPr id="0" name="09_dimensionality_experiment.png"/>
                    <pic:cNvPicPr/>
                  </pic:nvPicPr>
                  <pic:blipFill>
                    <a:blip r:embed="rId20"/>
                    <a:stretch>
                      <a:fillRect/>
                    </a:stretch>
                  </pic:blipFill>
                  <pic:spPr>
                    <a:xfrm>
                      <a:off x="0" y="0"/>
                      <a:ext cx="5394960" cy="2502524"/>
                    </a:xfrm>
                    <a:prstGeom prst="rect"/>
                  </pic:spPr>
                </pic:pic>
              </a:graphicData>
            </a:graphic>
          </wp:inline>
        </w:drawing>
      </w:r>
    </w:p>
    <w:p>
      <w:pPr>
        <w:spacing w:before="40" w:after="200"/>
        <w:jc w:val="center"/>
      </w:pPr>
      <w:r>
        <w:rPr>
          <w:i/>
          <w:color w:val="7A8794"/>
          <w:sz w:val="16"/>
        </w:rPr>
        <w:t>Figure 10 — The same clusters, scored in the space they were built in and in the original space. Only the measurement changed.</w:t>
      </w:r>
    </w:p>
    <w:p>
      <w:r>
        <w:rPr>
          <w:i w:val="0"/>
        </w:rPr>
        <w:t>Projecting to 2 dimensions appears to raise silhouette from 0.135 to 0.389 — a near threefold improvement that would look like a strong result in a slide.</w:t>
      </w:r>
    </w:p>
    <w:p>
      <w:r>
        <w:rPr>
          <w:i w:val="0"/>
        </w:rPr>
        <w:t>It is an artefact. The clusters did not change; only the ruler did. In two dimensions, points are genuinely closer to their neighbours because two of twenty-one axes were kept, and silhouette rewards that compression. Measured in the space the data actually lives in, the labels are no better than those from full-dimensional clustering.</w:t>
      </w: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jc w:val="left"/>
            </w:pPr>
            <w:r/>
            <w:r>
              <w:rPr>
                <w:b/>
                <w:color w:val="237A7A"/>
                <w:sz w:val="19"/>
              </w:rPr>
              <w:t>The rule</w:t>
            </w:r>
          </w:p>
          <w:p>
            <w:pPr>
              <w:spacing w:after="120"/>
              <w:jc w:val="left"/>
            </w:pPr>
            <w:r>
              <w:rPr>
                <w:sz w:val="18"/>
              </w:rPr>
              <w:t>Compare clusterings in a consistent space, or the comparison means nothing. Reducing dimensions before clustering is legitimate — for speed, for denoising wide data, or for visualisation — but the justification has to be external to the reduced space. A silhouette computed in 2-D is not evidence about a clustering of 21-D data.</w:t>
            </w:r>
          </w:p>
        </w:tc>
      </w:tr>
    </w:tbl>
    <w:p>
      <w:pPr>
        <w:spacing w:after="40"/>
      </w:pPr>
    </w:p>
    <w:p>
      <w:pPr>
        <w:pStyle w:val="Heading1"/>
      </w:pPr>
      <w:r>
        <w:t>11. Part B — The confusion matrix</w:t>
      </w:r>
    </w:p>
    <w:p>
      <w:r>
        <w:rPr>
          <w:i w:val="0"/>
        </w:rPr>
        <w:t>Part A established that the label cannot be recovered by clustering. Part B models it directly. The dataset is split 80/20 into 1,440 training and 360 held-out test rows, stratified so both halves keep the same churn rate. The test half is not used again until Section 16.</w:t>
      </w:r>
    </w:p>
    <w:p>
      <w:r>
        <w:rPr>
          <w:i w:val="0"/>
        </w:rPr>
        <w:t>Every classification metric in this report is a ratio of four counts. Computing those counts first — rather than reaching for a library function — makes the rest of the section arithmetic rather than opinion.</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 xml:space="preserve">                 predicted: stayed    predicted: churned</w:t>
            </w:r>
          </w:p>
          <w:p>
            <w:pPr>
              <w:spacing w:after="0" w:before="0" w:line="240" w:lineRule="auto"/>
            </w:pPr>
            <w:r>
              <w:rPr>
                <w:rFonts w:ascii="Consolas" w:hAnsi="Consolas"/>
                <w:color w:val="2B3540"/>
                <w:sz w:val="15"/>
                <w:rFonts w:ascii="Consolas" w:hAnsi="Consolas"/>
              </w:rPr>
              <w:t>actual: stayed          TN                    FP</w:t>
            </w:r>
          </w:p>
          <w:p>
            <w:pPr>
              <w:spacing w:after="0" w:before="0" w:line="240" w:lineRule="auto"/>
            </w:pPr>
            <w:r>
              <w:rPr>
                <w:rFonts w:ascii="Consolas" w:hAnsi="Consolas"/>
                <w:color w:val="2B3540"/>
                <w:sz w:val="15"/>
                <w:rFonts w:ascii="Consolas" w:hAnsi="Consolas"/>
              </w:rPr>
              <w:t>actual: churned         FN                    TP</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TP  true positive   — churner, correctly flagged</w:t>
            </w:r>
          </w:p>
          <w:p>
            <w:pPr>
              <w:spacing w:after="0" w:before="0" w:line="240" w:lineRule="auto"/>
            </w:pPr>
            <w:r>
              <w:rPr>
                <w:rFonts w:ascii="Consolas" w:hAnsi="Consolas"/>
                <w:color w:val="2B3540"/>
                <w:sz w:val="15"/>
                <w:rFonts w:ascii="Consolas" w:hAnsi="Consolas"/>
              </w:rPr>
              <w:t>TN  true negative   — loyal customer, correctly left alone</w:t>
            </w:r>
          </w:p>
          <w:p>
            <w:pPr>
              <w:spacing w:after="0" w:before="0" w:line="240" w:lineRule="auto"/>
            </w:pPr>
            <w:r>
              <w:rPr>
                <w:rFonts w:ascii="Consolas" w:hAnsi="Consolas"/>
                <w:color w:val="2B3540"/>
                <w:sz w:val="15"/>
                <w:rFonts w:ascii="Consolas" w:hAnsi="Consolas"/>
              </w:rPr>
              <w:t>FP  false positive  — loyal customer flagged: a wasted retention offer</w:t>
            </w:r>
          </w:p>
          <w:p>
            <w:pPr>
              <w:spacing w:after="0" w:before="0" w:line="240" w:lineRule="auto"/>
            </w:pPr>
            <w:r>
              <w:rPr>
                <w:rFonts w:ascii="Consolas" w:hAnsi="Consolas"/>
                <w:color w:val="2B3540"/>
                <w:sz w:val="15"/>
                <w:rFonts w:ascii="Consolas" w:hAnsi="Consolas"/>
              </w:rPr>
              <w:t>FN  false negative  — churner missed: a customer lost without warning</w:t>
            </w:r>
          </w:p>
        </w:tc>
      </w:tr>
    </w:tbl>
    <w:p>
      <w:pPr>
        <w:spacing w:after="40"/>
      </w:pPr>
    </w:p>
    <w:p>
      <w:pPr>
        <w:spacing w:before="80" w:after="40"/>
        <w:jc w:val="center"/>
      </w:pPr>
      <w:r>
        <w:drawing>
          <wp:inline xmlns:a="http://schemas.openxmlformats.org/drawingml/2006/main" xmlns:pic="http://schemas.openxmlformats.org/drawingml/2006/picture">
            <wp:extent cx="5760720" cy="2260456"/>
            <wp:docPr id="11" name="Picture 11"/>
            <wp:cNvGraphicFramePr>
              <a:graphicFrameLocks noChangeAspect="1"/>
            </wp:cNvGraphicFramePr>
            <a:graphic>
              <a:graphicData uri="http://schemas.openxmlformats.org/drawingml/2006/picture">
                <pic:pic>
                  <pic:nvPicPr>
                    <pic:cNvPr id="0" name="10_confusion_matrix.png"/>
                    <pic:cNvPicPr/>
                  </pic:nvPicPr>
                  <pic:blipFill>
                    <a:blip r:embed="rId21"/>
                    <a:stretch>
                      <a:fillRect/>
                    </a:stretch>
                  </pic:blipFill>
                  <pic:spPr>
                    <a:xfrm>
                      <a:off x="0" y="0"/>
                      <a:ext cx="5760720" cy="2260456"/>
                    </a:xfrm>
                    <a:prstGeom prst="rect"/>
                  </pic:spPr>
                </pic:pic>
              </a:graphicData>
            </a:graphic>
          </wp:inline>
        </w:drawing>
      </w:r>
    </w:p>
    <w:p>
      <w:pPr>
        <w:spacing w:before="40" w:after="200"/>
        <w:jc w:val="center"/>
      </w:pPr>
      <w:r>
        <w:rPr>
          <w:i/>
          <w:color w:val="7A8794"/>
          <w:sz w:val="16"/>
        </w:rPr>
        <w:t>Figure 11 — The held-out confusion matrix, and every metric derived from it. The four counts are the only raw data; everything to the right is a ratio of them.</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2520"/>
            <w:vAlign w:val="center"/>
            <w:shd w:fill="17324D"/>
          </w:tcPr>
          <w:p>
            <w:pPr>
              <w:spacing w:after="40" w:before="40"/>
            </w:pPr>
            <w:r/>
            <w:r>
              <w:rPr>
                <w:b/>
                <w:color w:val="FFFFFF"/>
                <w:sz w:val="17"/>
              </w:rPr>
              <w:t>Cell</w:t>
            </w:r>
          </w:p>
        </w:tc>
        <w:tc>
          <w:tcPr>
            <w:tcW w:type="dxa" w:w="1080"/>
            <w:vAlign w:val="center"/>
            <w:shd w:fill="17324D"/>
          </w:tcPr>
          <w:p>
            <w:pPr>
              <w:spacing w:after="40" w:before="40"/>
            </w:pPr>
            <w:r/>
            <w:r>
              <w:rPr>
                <w:b/>
                <w:color w:val="FFFFFF"/>
                <w:sz w:val="17"/>
              </w:rPr>
              <w:t>Count</w:t>
            </w:r>
          </w:p>
        </w:tc>
        <w:tc>
          <w:tcPr>
            <w:tcW w:type="dxa" w:w="3384"/>
            <w:vAlign w:val="center"/>
            <w:shd w:fill="17324D"/>
          </w:tcPr>
          <w:p>
            <w:pPr>
              <w:spacing w:after="40" w:before="40"/>
            </w:pPr>
            <w:r/>
            <w:r>
              <w:rPr>
                <w:b/>
                <w:color w:val="FFFFFF"/>
                <w:sz w:val="17"/>
              </w:rPr>
              <w:t>What it is</w:t>
            </w:r>
          </w:p>
        </w:tc>
        <w:tc>
          <w:tcPr>
            <w:tcW w:type="dxa" w:w="2448"/>
            <w:vAlign w:val="center"/>
            <w:shd w:fill="17324D"/>
          </w:tcPr>
          <w:p>
            <w:pPr>
              <w:spacing w:after="40" w:before="40"/>
            </w:pPr>
            <w:r/>
            <w:r>
              <w:rPr>
                <w:b/>
                <w:color w:val="FFFFFF"/>
                <w:sz w:val="17"/>
              </w:rPr>
              <w:t>Cost when wrong</w:t>
            </w:r>
          </w:p>
        </w:tc>
      </w:tr>
      <w:tr>
        <w:trPr>
          <w:cantSplit w:val="true"/>
        </w:trPr>
        <w:tc>
          <w:tcPr>
            <w:tcW w:type="dxa" w:w="2520"/>
            <w:vAlign w:val="center"/>
          </w:tcPr>
          <w:p>
            <w:pPr>
              <w:spacing w:after="40" w:before="40"/>
            </w:pPr>
            <w:r/>
            <w:r>
              <w:rPr>
                <w:sz w:val="17"/>
              </w:rPr>
              <w:t>True negative (TN)</w:t>
            </w:r>
          </w:p>
        </w:tc>
        <w:tc>
          <w:tcPr>
            <w:tcW w:type="dxa" w:w="1080"/>
            <w:vAlign w:val="center"/>
          </w:tcPr>
          <w:p>
            <w:pPr>
              <w:spacing w:after="40" w:before="40"/>
              <w:jc w:val="right"/>
            </w:pPr>
            <w:r/>
            <w:r>
              <w:rPr>
                <w:sz w:val="17"/>
              </w:rPr>
              <w:t>181</w:t>
            </w:r>
          </w:p>
        </w:tc>
        <w:tc>
          <w:tcPr>
            <w:tcW w:type="dxa" w:w="3384"/>
            <w:vAlign w:val="center"/>
          </w:tcPr>
          <w:p>
            <w:pPr>
              <w:spacing w:after="40" w:before="40"/>
              <w:jc w:val="right"/>
            </w:pPr>
            <w:r/>
            <w:r>
              <w:rPr>
                <w:sz w:val="17"/>
              </w:rPr>
              <w:t>Loyal customer, left alone</w:t>
            </w:r>
          </w:p>
        </w:tc>
        <w:tc>
          <w:tcPr>
            <w:tcW w:type="dxa" w:w="2448"/>
            <w:vAlign w:val="center"/>
          </w:tcPr>
          <w:p>
            <w:pPr>
              <w:spacing w:after="40" w:before="40"/>
              <w:jc w:val="right"/>
            </w:pPr>
            <w:r/>
            <w:r>
              <w:rPr>
                <w:sz w:val="17"/>
              </w:rPr>
              <w:t>none</w:t>
            </w:r>
          </w:p>
        </w:tc>
      </w:tr>
      <w:tr>
        <w:trPr>
          <w:cantSplit w:val="true"/>
        </w:trPr>
        <w:tc>
          <w:tcPr>
            <w:tcW w:type="dxa" w:w="2520"/>
            <w:vAlign w:val="center"/>
            <w:shd w:fill="F1F5F9"/>
          </w:tcPr>
          <w:p>
            <w:pPr>
              <w:spacing w:after="40" w:before="40"/>
            </w:pPr>
            <w:r/>
            <w:r>
              <w:rPr>
                <w:sz w:val="17"/>
              </w:rPr>
              <w:t>False positive (FP)</w:t>
            </w:r>
          </w:p>
        </w:tc>
        <w:tc>
          <w:tcPr>
            <w:tcW w:type="dxa" w:w="1080"/>
            <w:vAlign w:val="center"/>
            <w:shd w:fill="F1F5F9"/>
          </w:tcPr>
          <w:p>
            <w:pPr>
              <w:spacing w:after="40" w:before="40"/>
              <w:jc w:val="right"/>
            </w:pPr>
            <w:r/>
            <w:r>
              <w:rPr>
                <w:sz w:val="17"/>
              </w:rPr>
              <w:t>83</w:t>
            </w:r>
          </w:p>
        </w:tc>
        <w:tc>
          <w:tcPr>
            <w:tcW w:type="dxa" w:w="3384"/>
            <w:vAlign w:val="center"/>
            <w:shd w:fill="F1F5F9"/>
          </w:tcPr>
          <w:p>
            <w:pPr>
              <w:spacing w:after="40" w:before="40"/>
              <w:jc w:val="right"/>
            </w:pPr>
            <w:r/>
            <w:r>
              <w:rPr>
                <w:sz w:val="17"/>
              </w:rPr>
              <w:t>Loyal customer, wrongly flagged</w:t>
            </w:r>
          </w:p>
        </w:tc>
        <w:tc>
          <w:tcPr>
            <w:tcW w:type="dxa" w:w="2448"/>
            <w:vAlign w:val="center"/>
            <w:shd w:fill="F1F5F9"/>
          </w:tcPr>
          <w:p>
            <w:pPr>
              <w:spacing w:after="40" w:before="40"/>
              <w:jc w:val="right"/>
            </w:pPr>
            <w:r/>
            <w:r>
              <w:rPr>
                <w:sz w:val="17"/>
              </w:rPr>
              <w:t>a wasted offer</w:t>
            </w:r>
          </w:p>
        </w:tc>
      </w:tr>
      <w:tr>
        <w:trPr>
          <w:cantSplit w:val="true"/>
        </w:trPr>
        <w:tc>
          <w:tcPr>
            <w:tcW w:type="dxa" w:w="2520"/>
            <w:vAlign w:val="center"/>
          </w:tcPr>
          <w:p>
            <w:pPr>
              <w:spacing w:after="40" w:before="40"/>
            </w:pPr>
            <w:r/>
            <w:r>
              <w:rPr>
                <w:sz w:val="17"/>
              </w:rPr>
              <w:t>False negative (FN)</w:t>
            </w:r>
          </w:p>
        </w:tc>
        <w:tc>
          <w:tcPr>
            <w:tcW w:type="dxa" w:w="1080"/>
            <w:vAlign w:val="center"/>
          </w:tcPr>
          <w:p>
            <w:pPr>
              <w:spacing w:after="40" w:before="40"/>
              <w:jc w:val="right"/>
            </w:pPr>
            <w:r/>
            <w:r>
              <w:rPr>
                <w:sz w:val="17"/>
              </w:rPr>
              <w:t>33</w:t>
            </w:r>
          </w:p>
        </w:tc>
        <w:tc>
          <w:tcPr>
            <w:tcW w:type="dxa" w:w="3384"/>
            <w:vAlign w:val="center"/>
          </w:tcPr>
          <w:p>
            <w:pPr>
              <w:spacing w:after="40" w:before="40"/>
              <w:jc w:val="right"/>
            </w:pPr>
            <w:r/>
            <w:r>
              <w:rPr>
                <w:sz w:val="17"/>
              </w:rPr>
              <w:t>Churner, missed</w:t>
            </w:r>
          </w:p>
        </w:tc>
        <w:tc>
          <w:tcPr>
            <w:tcW w:type="dxa" w:w="2448"/>
            <w:vAlign w:val="center"/>
          </w:tcPr>
          <w:p>
            <w:pPr>
              <w:spacing w:after="40" w:before="40"/>
              <w:jc w:val="right"/>
            </w:pPr>
            <w:r/>
            <w:r>
              <w:rPr>
                <w:sz w:val="17"/>
              </w:rPr>
              <w:t>the customer</w:t>
            </w:r>
          </w:p>
        </w:tc>
      </w:tr>
      <w:tr>
        <w:trPr>
          <w:cantSplit w:val="true"/>
        </w:trPr>
        <w:tc>
          <w:tcPr>
            <w:tcW w:type="dxa" w:w="2520"/>
            <w:vAlign w:val="center"/>
            <w:shd w:fill="F1F5F9"/>
          </w:tcPr>
          <w:p>
            <w:pPr>
              <w:spacing w:after="40" w:before="40"/>
            </w:pPr>
            <w:r/>
            <w:r>
              <w:rPr>
                <w:sz w:val="17"/>
              </w:rPr>
              <w:t>True positive (TP)</w:t>
            </w:r>
          </w:p>
        </w:tc>
        <w:tc>
          <w:tcPr>
            <w:tcW w:type="dxa" w:w="1080"/>
            <w:vAlign w:val="center"/>
            <w:shd w:fill="F1F5F9"/>
          </w:tcPr>
          <w:p>
            <w:pPr>
              <w:spacing w:after="40" w:before="40"/>
              <w:jc w:val="right"/>
            </w:pPr>
            <w:r/>
            <w:r>
              <w:rPr>
                <w:sz w:val="17"/>
              </w:rPr>
              <w:t>63</w:t>
            </w:r>
          </w:p>
        </w:tc>
        <w:tc>
          <w:tcPr>
            <w:tcW w:type="dxa" w:w="3384"/>
            <w:vAlign w:val="center"/>
            <w:shd w:fill="F1F5F9"/>
          </w:tcPr>
          <w:p>
            <w:pPr>
              <w:spacing w:after="40" w:before="40"/>
              <w:jc w:val="right"/>
            </w:pPr>
            <w:r/>
            <w:r>
              <w:rPr>
                <w:sz w:val="17"/>
              </w:rPr>
              <w:t>Churner, caught</w:t>
            </w:r>
          </w:p>
        </w:tc>
        <w:tc>
          <w:tcPr>
            <w:tcW w:type="dxa" w:w="2448"/>
            <w:vAlign w:val="center"/>
            <w:shd w:fill="F1F5F9"/>
          </w:tcPr>
          <w:p>
            <w:pPr>
              <w:spacing w:after="40" w:before="40"/>
              <w:jc w:val="right"/>
            </w:pPr>
            <w:r/>
            <w:r>
              <w:rPr>
                <w:sz w:val="17"/>
              </w:rPr>
              <w:t>none</w:t>
            </w:r>
          </w:p>
        </w:tc>
      </w:tr>
    </w:tbl>
    <w:p>
      <w:pPr>
        <w:spacing w:after="40" w:before="0"/>
      </w:pPr>
    </w:p>
    <w:p>
      <w:r>
        <w:rPr>
          <w:i w:val="0"/>
        </w:rPr>
        <w:t>The asymmetry is the point. There are 83 false positives and 33 false negatives — a ratio of about 2.5 to 1. The model errs heavily toward flagging people who would have stayed. Whether that is a good trade depends entirely on what an offer costs against what a customer is worth, and the data cannot answer the question.</w:t>
      </w:r>
    </w:p>
    <w:p>
      <w:pPr>
        <w:pStyle w:val="Heading1"/>
      </w:pPr>
      <w:r>
        <w:t>12. Precision, recall, F1 and accuracy</w:t>
      </w:r>
    </w:p>
    <w:p>
      <w:r>
        <w:rPr>
          <w:i w:val="0"/>
        </w:rPr>
        <w:t>Each metric below is computed by hand from the four counts and then checked against the library value. Showing the arithmetic is not pedantry — the formulas are what explain why the metrics disagree with each other.</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1944"/>
            <w:vAlign w:val="center"/>
            <w:shd w:fill="17324D"/>
          </w:tcPr>
          <w:p>
            <w:pPr>
              <w:spacing w:after="40" w:before="40"/>
            </w:pPr>
            <w:r/>
            <w:r>
              <w:rPr>
                <w:b/>
                <w:color w:val="FFFFFF"/>
                <w:sz w:val="17"/>
              </w:rPr>
              <w:t>Metric</w:t>
            </w:r>
          </w:p>
        </w:tc>
        <w:tc>
          <w:tcPr>
            <w:tcW w:type="dxa" w:w="2808"/>
            <w:vAlign w:val="center"/>
            <w:shd w:fill="17324D"/>
          </w:tcPr>
          <w:p>
            <w:pPr>
              <w:spacing w:after="40" w:before="40"/>
            </w:pPr>
            <w:r/>
            <w:r>
              <w:rPr>
                <w:b/>
                <w:color w:val="FFFFFF"/>
                <w:sz w:val="17"/>
              </w:rPr>
              <w:t>Formula</w:t>
            </w:r>
          </w:p>
        </w:tc>
        <w:tc>
          <w:tcPr>
            <w:tcW w:type="dxa" w:w="3096"/>
            <w:vAlign w:val="center"/>
            <w:shd w:fill="17324D"/>
          </w:tcPr>
          <w:p>
            <w:pPr>
              <w:spacing w:after="40" w:before="40"/>
            </w:pPr>
            <w:r/>
            <w:r>
              <w:rPr>
                <w:b/>
                <w:color w:val="FFFFFF"/>
                <w:sz w:val="17"/>
              </w:rPr>
              <w:t>Worked here</w:t>
            </w:r>
          </w:p>
        </w:tc>
        <w:tc>
          <w:tcPr>
            <w:tcW w:type="dxa" w:w="1080"/>
            <w:vAlign w:val="center"/>
            <w:shd w:fill="17324D"/>
          </w:tcPr>
          <w:p>
            <w:pPr>
              <w:spacing w:after="40" w:before="40"/>
            </w:pPr>
            <w:r/>
            <w:r>
              <w:rPr>
                <w:b/>
                <w:color w:val="FFFFFF"/>
                <w:sz w:val="17"/>
              </w:rPr>
              <w:t>Value</w:t>
            </w:r>
          </w:p>
        </w:tc>
      </w:tr>
      <w:tr>
        <w:trPr>
          <w:cantSplit w:val="true"/>
        </w:trPr>
        <w:tc>
          <w:tcPr>
            <w:tcW w:type="dxa" w:w="1944"/>
            <w:vAlign w:val="center"/>
          </w:tcPr>
          <w:p>
            <w:pPr>
              <w:spacing w:after="40" w:before="40"/>
            </w:pPr>
            <w:r/>
            <w:r>
              <w:rPr>
                <w:sz w:val="17"/>
              </w:rPr>
              <w:t>Accuracy</w:t>
            </w:r>
          </w:p>
        </w:tc>
        <w:tc>
          <w:tcPr>
            <w:tcW w:type="dxa" w:w="2808"/>
            <w:vAlign w:val="center"/>
          </w:tcPr>
          <w:p>
            <w:pPr>
              <w:spacing w:after="40" w:before="40"/>
            </w:pPr>
            <w:r/>
            <w:r>
              <w:rPr>
                <w:sz w:val="17"/>
              </w:rPr>
              <w:t>(TP + TN) / total</w:t>
            </w:r>
          </w:p>
        </w:tc>
        <w:tc>
          <w:tcPr>
            <w:tcW w:type="dxa" w:w="3096"/>
            <w:vAlign w:val="center"/>
          </w:tcPr>
          <w:p>
            <w:pPr>
              <w:spacing w:after="40" w:before="40"/>
            </w:pPr>
            <w:r/>
            <w:r>
              <w:rPr>
                <w:sz w:val="17"/>
              </w:rPr>
              <w:t>(63 + 181) / 360</w:t>
            </w:r>
          </w:p>
        </w:tc>
        <w:tc>
          <w:tcPr>
            <w:tcW w:type="dxa" w:w="1080"/>
            <w:vAlign w:val="center"/>
          </w:tcPr>
          <w:p>
            <w:pPr>
              <w:spacing w:after="40" w:before="40"/>
              <w:jc w:val="right"/>
            </w:pPr>
            <w:r/>
            <w:r>
              <w:rPr>
                <w:sz w:val="17"/>
              </w:rPr>
              <w:t>0.678</w:t>
            </w:r>
          </w:p>
        </w:tc>
      </w:tr>
      <w:tr>
        <w:trPr>
          <w:cantSplit w:val="true"/>
        </w:trPr>
        <w:tc>
          <w:tcPr>
            <w:tcW w:type="dxa" w:w="1944"/>
            <w:vAlign w:val="center"/>
            <w:shd w:fill="F1F5F9"/>
          </w:tcPr>
          <w:p>
            <w:pPr>
              <w:spacing w:after="40" w:before="40"/>
            </w:pPr>
            <w:r/>
            <w:r>
              <w:rPr>
                <w:sz w:val="17"/>
              </w:rPr>
              <w:t>Precision</w:t>
            </w:r>
          </w:p>
        </w:tc>
        <w:tc>
          <w:tcPr>
            <w:tcW w:type="dxa" w:w="2808"/>
            <w:vAlign w:val="center"/>
            <w:shd w:fill="F1F5F9"/>
          </w:tcPr>
          <w:p>
            <w:pPr>
              <w:spacing w:after="40" w:before="40"/>
            </w:pPr>
            <w:r/>
            <w:r>
              <w:rPr>
                <w:sz w:val="17"/>
              </w:rPr>
              <w:t>TP / (TP + FP)</w:t>
            </w:r>
          </w:p>
        </w:tc>
        <w:tc>
          <w:tcPr>
            <w:tcW w:type="dxa" w:w="3096"/>
            <w:vAlign w:val="center"/>
            <w:shd w:fill="F1F5F9"/>
          </w:tcPr>
          <w:p>
            <w:pPr>
              <w:spacing w:after="40" w:before="40"/>
            </w:pPr>
            <w:r/>
            <w:r>
              <w:rPr>
                <w:sz w:val="17"/>
              </w:rPr>
              <w:t>63 / (63 + 83)</w:t>
            </w:r>
          </w:p>
        </w:tc>
        <w:tc>
          <w:tcPr>
            <w:tcW w:type="dxa" w:w="1080"/>
            <w:vAlign w:val="center"/>
            <w:shd w:fill="F1F5F9"/>
          </w:tcPr>
          <w:p>
            <w:pPr>
              <w:spacing w:after="40" w:before="40"/>
              <w:jc w:val="right"/>
            </w:pPr>
            <w:r/>
            <w:r>
              <w:rPr>
                <w:sz w:val="17"/>
              </w:rPr>
              <w:t>0.432</w:t>
            </w:r>
          </w:p>
        </w:tc>
      </w:tr>
      <w:tr>
        <w:trPr>
          <w:cantSplit w:val="true"/>
        </w:trPr>
        <w:tc>
          <w:tcPr>
            <w:tcW w:type="dxa" w:w="1944"/>
            <w:vAlign w:val="center"/>
          </w:tcPr>
          <w:p>
            <w:pPr>
              <w:spacing w:after="40" w:before="40"/>
            </w:pPr>
            <w:r/>
            <w:r>
              <w:rPr>
                <w:sz w:val="17"/>
              </w:rPr>
              <w:t>Recall</w:t>
            </w:r>
          </w:p>
        </w:tc>
        <w:tc>
          <w:tcPr>
            <w:tcW w:type="dxa" w:w="2808"/>
            <w:vAlign w:val="center"/>
          </w:tcPr>
          <w:p>
            <w:pPr>
              <w:spacing w:after="40" w:before="40"/>
            </w:pPr>
            <w:r/>
            <w:r>
              <w:rPr>
                <w:sz w:val="17"/>
              </w:rPr>
              <w:t>TP / (TP + FN)</w:t>
            </w:r>
          </w:p>
        </w:tc>
        <w:tc>
          <w:tcPr>
            <w:tcW w:type="dxa" w:w="3096"/>
            <w:vAlign w:val="center"/>
          </w:tcPr>
          <w:p>
            <w:pPr>
              <w:spacing w:after="40" w:before="40"/>
            </w:pPr>
            <w:r/>
            <w:r>
              <w:rPr>
                <w:sz w:val="17"/>
              </w:rPr>
              <w:t>63 / (63 + 33)</w:t>
            </w:r>
          </w:p>
        </w:tc>
        <w:tc>
          <w:tcPr>
            <w:tcW w:type="dxa" w:w="1080"/>
            <w:vAlign w:val="center"/>
          </w:tcPr>
          <w:p>
            <w:pPr>
              <w:spacing w:after="40" w:before="40"/>
              <w:jc w:val="right"/>
            </w:pPr>
            <w:r/>
            <w:r>
              <w:rPr>
                <w:sz w:val="17"/>
              </w:rPr>
              <w:t>0.656</w:t>
            </w:r>
          </w:p>
        </w:tc>
      </w:tr>
      <w:tr>
        <w:trPr>
          <w:cantSplit w:val="true"/>
        </w:trPr>
        <w:tc>
          <w:tcPr>
            <w:tcW w:type="dxa" w:w="1944"/>
            <w:vAlign w:val="center"/>
            <w:shd w:fill="F1F5F9"/>
          </w:tcPr>
          <w:p>
            <w:pPr>
              <w:spacing w:after="40" w:before="40"/>
            </w:pPr>
            <w:r/>
            <w:r>
              <w:rPr>
                <w:sz w:val="17"/>
              </w:rPr>
              <w:t>F1</w:t>
            </w:r>
          </w:p>
        </w:tc>
        <w:tc>
          <w:tcPr>
            <w:tcW w:type="dxa" w:w="2808"/>
            <w:vAlign w:val="center"/>
            <w:shd w:fill="F1F5F9"/>
          </w:tcPr>
          <w:p>
            <w:pPr>
              <w:spacing w:after="40" w:before="40"/>
            </w:pPr>
            <w:r/>
            <w:r>
              <w:rPr>
                <w:sz w:val="17"/>
              </w:rPr>
              <w:t>2·P·R / (P + R)</w:t>
            </w:r>
          </w:p>
        </w:tc>
        <w:tc>
          <w:tcPr>
            <w:tcW w:type="dxa" w:w="3096"/>
            <w:vAlign w:val="center"/>
            <w:shd w:fill="F1F5F9"/>
          </w:tcPr>
          <w:p>
            <w:pPr>
              <w:spacing w:after="40" w:before="40"/>
            </w:pPr>
            <w:r/>
            <w:r>
              <w:rPr>
                <w:sz w:val="17"/>
              </w:rPr>
              <w:t>harmonic mean of the two</w:t>
            </w:r>
          </w:p>
        </w:tc>
        <w:tc>
          <w:tcPr>
            <w:tcW w:type="dxa" w:w="1080"/>
            <w:vAlign w:val="center"/>
            <w:shd w:fill="F1F5F9"/>
          </w:tcPr>
          <w:p>
            <w:pPr>
              <w:spacing w:after="40" w:before="40"/>
              <w:jc w:val="right"/>
            </w:pPr>
            <w:r/>
            <w:r>
              <w:rPr>
                <w:sz w:val="17"/>
              </w:rPr>
              <w:t>0.521</w:t>
            </w:r>
          </w:p>
        </w:tc>
      </w:tr>
      <w:tr>
        <w:trPr>
          <w:cantSplit w:val="true"/>
        </w:trPr>
        <w:tc>
          <w:tcPr>
            <w:tcW w:type="dxa" w:w="1944"/>
            <w:vAlign w:val="center"/>
          </w:tcPr>
          <w:p>
            <w:pPr>
              <w:spacing w:after="40" w:before="40"/>
            </w:pPr>
            <w:r/>
            <w:r>
              <w:rPr>
                <w:sz w:val="17"/>
              </w:rPr>
              <w:t>Balanced accuracy</w:t>
            </w:r>
          </w:p>
        </w:tc>
        <w:tc>
          <w:tcPr>
            <w:tcW w:type="dxa" w:w="2808"/>
            <w:vAlign w:val="center"/>
          </w:tcPr>
          <w:p>
            <w:pPr>
              <w:spacing w:after="40" w:before="40"/>
            </w:pPr>
            <w:r/>
            <w:r>
              <w:rPr>
                <w:sz w:val="17"/>
              </w:rPr>
              <w:t>(recall + specificity) / 2</w:t>
            </w:r>
          </w:p>
        </w:tc>
        <w:tc>
          <w:tcPr>
            <w:tcW w:type="dxa" w:w="3096"/>
            <w:vAlign w:val="center"/>
          </w:tcPr>
          <w:p>
            <w:pPr>
              <w:spacing w:after="40" w:before="40"/>
            </w:pPr>
            <w:r/>
            <w:r>
              <w:rPr>
                <w:sz w:val="17"/>
              </w:rPr>
              <w:t>mean of the two class accuracies</w:t>
            </w:r>
          </w:p>
        </w:tc>
        <w:tc>
          <w:tcPr>
            <w:tcW w:type="dxa" w:w="1080"/>
            <w:vAlign w:val="center"/>
          </w:tcPr>
          <w:p>
            <w:pPr>
              <w:spacing w:after="40" w:before="40"/>
              <w:jc w:val="right"/>
            </w:pPr>
            <w:r/>
            <w:r>
              <w:rPr>
                <w:sz w:val="17"/>
              </w:rPr>
              <w:t>0.671</w:t>
            </w:r>
          </w:p>
        </w:tc>
      </w:tr>
      <w:tr>
        <w:trPr>
          <w:cantSplit w:val="true"/>
        </w:trPr>
        <w:tc>
          <w:tcPr>
            <w:tcW w:type="dxa" w:w="1944"/>
            <w:vAlign w:val="center"/>
            <w:shd w:fill="F1F5F9"/>
          </w:tcPr>
          <w:p>
            <w:pPr>
              <w:spacing w:after="40" w:before="40"/>
            </w:pPr>
            <w:r/>
            <w:r>
              <w:rPr>
                <w:sz w:val="17"/>
              </w:rPr>
              <w:t>MCC</w:t>
            </w:r>
          </w:p>
        </w:tc>
        <w:tc>
          <w:tcPr>
            <w:tcW w:type="dxa" w:w="2808"/>
            <w:vAlign w:val="center"/>
            <w:shd w:fill="F1F5F9"/>
          </w:tcPr>
          <w:p>
            <w:pPr>
              <w:spacing w:after="40" w:before="40"/>
            </w:pPr>
            <w:r/>
            <w:r>
              <w:rPr>
                <w:sz w:val="17"/>
              </w:rPr>
              <w:t>correlation of prediction with truth</w:t>
            </w:r>
          </w:p>
        </w:tc>
        <w:tc>
          <w:tcPr>
            <w:tcW w:type="dxa" w:w="3096"/>
            <w:vAlign w:val="center"/>
            <w:shd w:fill="F1F5F9"/>
          </w:tcPr>
          <w:p>
            <w:pPr>
              <w:spacing w:after="40" w:before="40"/>
            </w:pPr>
            <w:r/>
            <w:r>
              <w:rPr>
                <w:sz w:val="17"/>
              </w:rPr>
              <w:t>−1 to +1, 0 = chance</w:t>
            </w:r>
          </w:p>
        </w:tc>
        <w:tc>
          <w:tcPr>
            <w:tcW w:type="dxa" w:w="1080"/>
            <w:vAlign w:val="center"/>
            <w:shd w:fill="F1F5F9"/>
          </w:tcPr>
          <w:p>
            <w:pPr>
              <w:spacing w:after="40" w:before="40"/>
              <w:jc w:val="right"/>
            </w:pPr>
            <w:r/>
            <w:r>
              <w:rPr>
                <w:sz w:val="17"/>
              </w:rPr>
              <w:t>0.308</w:t>
            </w:r>
          </w:p>
        </w:tc>
      </w:tr>
      <w:tr>
        <w:trPr>
          <w:cantSplit w:val="true"/>
        </w:trPr>
        <w:tc>
          <w:tcPr>
            <w:tcW w:type="dxa" w:w="1944"/>
            <w:vAlign w:val="center"/>
          </w:tcPr>
          <w:p>
            <w:pPr>
              <w:spacing w:after="40" w:before="40"/>
            </w:pPr>
            <w:r/>
            <w:r>
              <w:rPr>
                <w:sz w:val="17"/>
              </w:rPr>
              <w:t>ROC-AUC</w:t>
            </w:r>
          </w:p>
        </w:tc>
        <w:tc>
          <w:tcPr>
            <w:tcW w:type="dxa" w:w="2808"/>
            <w:vAlign w:val="center"/>
          </w:tcPr>
          <w:p>
            <w:pPr>
              <w:spacing w:after="40" w:before="40"/>
            </w:pPr>
            <w:r/>
            <w:r>
              <w:rPr>
                <w:sz w:val="17"/>
              </w:rPr>
              <w:t>area under the ROC curve</w:t>
            </w:r>
          </w:p>
        </w:tc>
        <w:tc>
          <w:tcPr>
            <w:tcW w:type="dxa" w:w="3096"/>
            <w:vAlign w:val="center"/>
          </w:tcPr>
          <w:p>
            <w:pPr>
              <w:spacing w:after="40" w:before="40"/>
            </w:pPr>
            <w:r/>
            <w:r>
              <w:rPr>
                <w:sz w:val="17"/>
              </w:rPr>
              <w:t>threshold-free ranking score</w:t>
            </w:r>
          </w:p>
        </w:tc>
        <w:tc>
          <w:tcPr>
            <w:tcW w:type="dxa" w:w="1080"/>
            <w:vAlign w:val="center"/>
          </w:tcPr>
          <w:p>
            <w:pPr>
              <w:spacing w:after="40" w:before="40"/>
              <w:jc w:val="right"/>
            </w:pPr>
            <w:r/>
            <w:r>
              <w:rPr>
                <w:sz w:val="17"/>
              </w:rPr>
              <w:t>0.768</w:t>
            </w:r>
          </w:p>
        </w:tc>
      </w:tr>
      <w:tr>
        <w:trPr>
          <w:cantSplit w:val="true"/>
        </w:trPr>
        <w:tc>
          <w:tcPr>
            <w:tcW w:type="dxa" w:w="1944"/>
            <w:vAlign w:val="center"/>
            <w:shd w:fill="F1F5F9"/>
          </w:tcPr>
          <w:p>
            <w:pPr>
              <w:spacing w:after="40" w:before="40"/>
            </w:pPr>
            <w:r/>
            <w:r>
              <w:rPr>
                <w:sz w:val="17"/>
              </w:rPr>
              <w:t>PR-AUC</w:t>
            </w:r>
          </w:p>
        </w:tc>
        <w:tc>
          <w:tcPr>
            <w:tcW w:type="dxa" w:w="2808"/>
            <w:vAlign w:val="center"/>
            <w:shd w:fill="F1F5F9"/>
          </w:tcPr>
          <w:p>
            <w:pPr>
              <w:spacing w:after="40" w:before="40"/>
            </w:pPr>
            <w:r/>
            <w:r>
              <w:rPr>
                <w:sz w:val="17"/>
              </w:rPr>
              <w:t>area under precision-recall</w:t>
            </w:r>
          </w:p>
        </w:tc>
        <w:tc>
          <w:tcPr>
            <w:tcW w:type="dxa" w:w="3096"/>
            <w:vAlign w:val="center"/>
            <w:shd w:fill="F1F5F9"/>
          </w:tcPr>
          <w:p>
            <w:pPr>
              <w:spacing w:after="40" w:before="40"/>
            </w:pPr>
            <w:r/>
            <w:r>
              <w:rPr>
                <w:sz w:val="17"/>
              </w:rPr>
              <w:t>focus on the positive class</w:t>
            </w:r>
          </w:p>
        </w:tc>
        <w:tc>
          <w:tcPr>
            <w:tcW w:type="dxa" w:w="1080"/>
            <w:vAlign w:val="center"/>
            <w:shd w:fill="F1F5F9"/>
          </w:tcPr>
          <w:p>
            <w:pPr>
              <w:spacing w:after="40" w:before="40"/>
              <w:jc w:val="right"/>
            </w:pPr>
            <w:r/>
            <w:r>
              <w:rPr>
                <w:sz w:val="17"/>
              </w:rPr>
              <w:t>0.517</w:t>
            </w:r>
          </w:p>
        </w:tc>
      </w:tr>
    </w:tbl>
    <w:p>
      <w:pPr>
        <w:spacing w:after="40" w:before="0"/>
      </w:pPr>
    </w:p>
    <w:p>
      <w:pPr>
        <w:pStyle w:val="Heading2"/>
      </w:pPr>
      <w:r>
        <w:t>12.1 Why accuracy is the wrong headline</w:t>
      </w:r>
    </w:p>
    <w:p>
      <w:r>
        <w:rPr>
          <w:i w:val="0"/>
        </w:rPr>
        <w:t>A model that predicts 'no churn' for every customer scores 0.733 accuracy on this data, because 26.7% of customers stay. The classifier in this report scores 0.678 — worse than doing nothing, by that measure.</w:t>
      </w:r>
    </w:p>
    <w:p>
      <w:r>
        <w:rPr>
          <w:i w:val="0"/>
        </w:rPr>
        <w:t>That is not a defect in the model. It is the reason accuracy is a poor headline for an imbalanced problem. The trivial model has a recall of zero: it catches no churners at all, and every single departure goes unnoticed. It wins on accuracy precisely because it ignores the class the business cares about.</w:t>
      </w:r>
    </w:p>
    <w:tbl>
      <w:tblPr>
        <w:tblW w:type="auto" w:w="0"/>
        <w:jc w:val="center"/>
        <w:tblLayout w:type="fixed"/>
        <w:tblLook w:firstColumn="1" w:firstRow="1" w:lastColumn="0" w:lastRow="0" w:noHBand="0" w:noVBand="1" w:val="04A0"/>
      </w:tblPr>
      <w:tblGrid>
        <w:gridCol w:w="9764"/>
      </w:tblGrid>
      <w:tr>
        <w:tc>
          <w:tcPr>
            <w:tcW w:type="dxa" w:w="9432"/>
            <w:shd w:fill="F8ECE7"/>
          </w:tcPr>
          <w:p>
            <w:pPr>
              <w:spacing w:before="120" w:after="40"/>
              <w:jc w:val="left"/>
            </w:pPr>
            <w:r/>
            <w:r>
              <w:rPr>
                <w:b/>
                <w:color w:val="C4664D"/>
                <w:sz w:val="19"/>
              </w:rPr>
              <w:t>What each metric would have told you</w:t>
            </w:r>
          </w:p>
          <w:p>
            <w:pPr>
              <w:spacing w:after="120"/>
              <w:jc w:val="left"/>
            </w:pPr>
            <w:r>
              <w:rPr>
                <w:sz w:val="18"/>
              </w:rPr>
              <w:t>Accuracy says 0.678 — reject the model. Recall says 0.656 — it catches about two-thirds of churners. Precision says 0.432 — more than half its flags are false alarms. Balanced accuracy says 0.671 — clearly better than the 0.500 a do-nothing model scores. All four are true simultaneously, which is why no single number can summarise this model.</w:t>
            </w:r>
          </w:p>
        </w:tc>
      </w:tr>
    </w:tbl>
    <w:p>
      <w:pPr>
        <w:spacing w:after="40"/>
      </w:pPr>
    </w:p>
    <w:p>
      <w:pPr>
        <w:pStyle w:val="Heading2"/>
      </w:pPr>
      <w:r>
        <w:t>12.2 What F1 does and does not solve</w:t>
      </w:r>
    </w:p>
    <w:p>
      <w:r>
        <w:rPr>
          <w:i w:val="0"/>
        </w:rPr>
        <w:t>F1 is the harmonic mean of precision and recall, so it penalises a model that is extreme on either. At 0.521 it sits between the two inputs, and it is the single number most commonly reported.</w:t>
      </w:r>
    </w:p>
    <w:p>
      <w:r>
        <w:rPr>
          <w:i w:val="0"/>
        </w:rPr>
        <w:t>It also hides the trade-off it is summarising. A model with precision 0.70 and recall 0.45 can have the same F1 as one with precision 0.45 and recall 0.70, yet the two are very different propositions for a retention team. F1 assumes the two errors are equally costly, which for churn prediction they usually are not.</w:t>
      </w:r>
    </w:p>
    <w:p>
      <w:pPr>
        <w:pStyle w:val="Heading1"/>
      </w:pPr>
      <w:r>
        <w:t>13. ROC-AUC and the precision-recall alternative</w:t>
      </w:r>
    </w:p>
    <w:p>
      <w:r>
        <w:rPr>
          <w:i w:val="0"/>
        </w:rPr>
        <w:t>Every metric so far depends on the 0.5 threshold used to convert a probability into a label. Move the threshold and all of them change. ROC-AUC asks a different question: regardless of where the threshold is set, how well does the model order customers by risk?</w:t>
      </w:r>
    </w:p>
    <w:p>
      <w:pPr>
        <w:spacing w:before="80" w:after="40"/>
        <w:jc w:val="center"/>
      </w:pPr>
      <w:r>
        <w:drawing>
          <wp:inline xmlns:a="http://schemas.openxmlformats.org/drawingml/2006/main" xmlns:pic="http://schemas.openxmlformats.org/drawingml/2006/picture">
            <wp:extent cx="5852160" cy="1824401"/>
            <wp:docPr id="12" name="Picture 12"/>
            <wp:cNvGraphicFramePr>
              <a:graphicFrameLocks noChangeAspect="1"/>
            </wp:cNvGraphicFramePr>
            <a:graphic>
              <a:graphicData uri="http://schemas.openxmlformats.org/drawingml/2006/picture">
                <pic:pic>
                  <pic:nvPicPr>
                    <pic:cNvPr id="0" name="11_curves.png"/>
                    <pic:cNvPicPr/>
                  </pic:nvPicPr>
                  <pic:blipFill>
                    <a:blip r:embed="rId22"/>
                    <a:stretch>
                      <a:fillRect/>
                    </a:stretch>
                  </pic:blipFill>
                  <pic:spPr>
                    <a:xfrm>
                      <a:off x="0" y="0"/>
                      <a:ext cx="5852160" cy="1824401"/>
                    </a:xfrm>
                    <a:prstGeom prst="rect"/>
                  </pic:spPr>
                </pic:pic>
              </a:graphicData>
            </a:graphic>
          </wp:inline>
        </w:drawing>
      </w:r>
    </w:p>
    <w:p>
      <w:pPr>
        <w:spacing w:before="40" w:after="200"/>
        <w:jc w:val="center"/>
      </w:pPr>
      <w:r>
        <w:rPr>
          <w:i/>
          <w:color w:val="7A8794"/>
          <w:sz w:val="16"/>
        </w:rPr>
        <w:t>Figure 12 — ROC curve, precision-recall curve and calibration plot for the held-out data.</w:t>
      </w:r>
    </w:p>
    <w:p>
      <w:r>
        <w:rPr>
          <w:i w:val="0"/>
        </w:rPr>
        <w:t>The ROC-AUC of 0.768 means that if you pick one churner and one non-churner at random, there is a 76.8% chance the model assigns the churner the higher risk score. A model with no skill scores 0.500.</w:t>
      </w:r>
    </w:p>
    <w:p>
      <w:pPr>
        <w:pStyle w:val="Heading2"/>
      </w:pPr>
      <w:r>
        <w:t>13.1 Why the ROC curve flatters this problem</w:t>
      </w:r>
    </w:p>
    <w:p>
      <w:r>
        <w:rPr>
          <w:i w:val="0"/>
        </w:rPr>
        <w:t>The false positive rate on the x-axis is FP divided by the number of actual negatives — 1,320 people in the full dataset, 264 in the test split. Flagging 83 innocent customers only moves that share by about 0.31. The curve therefore stays close to the top-left even though most of the flags raised are wrong.</w:t>
      </w:r>
    </w:p>
    <w:p>
      <w:r>
        <w:rPr>
          <w:i w:val="0"/>
        </w:rPr>
        <w:t>The precision-recall curve does not have that escape route, because precision divides by the number of positive predictions rather than by the number of negatives. And its no-skill baseline is not 0.500 — it is the churn rate itself, 0.267. Against that baseline, a PR-AUC of 0.517 is a meaningful improvement, but a much less flattering one than the ROC number suggests.</w:t>
      </w: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jc w:val="left"/>
            </w:pPr>
            <w:r/>
            <w:r>
              <w:rPr>
                <w:b/>
                <w:color w:val="237A7A"/>
                <w:sz w:val="19"/>
              </w:rPr>
              <w:t>Which to report</w:t>
            </w:r>
          </w:p>
          <w:p>
            <w:pPr>
              <w:spacing w:after="120"/>
              <w:jc w:val="left"/>
            </w:pPr>
            <w:r>
              <w:rPr>
                <w:sz w:val="18"/>
              </w:rPr>
              <w:t>Report both. ROC-AUC is the more familiar and stays comparable across datasets with different class balances. PR-AUC is the more honest summary when the positive class is rare and precision is what the business actually experiences. Reporting ROC-AUC alone on a 27% positive rate overstates how usable the model is.</w:t>
            </w:r>
          </w:p>
        </w:tc>
      </w:tr>
    </w:tbl>
    <w:p>
      <w:pPr>
        <w:spacing w:after="40"/>
      </w:pPr>
    </w:p>
    <w:p>
      <w:pPr>
        <w:pStyle w:val="Heading2"/>
      </w:pPr>
      <w:r>
        <w:t>13.2 Calibration</w:t>
      </w:r>
    </w:p>
    <w:p>
      <w:r>
        <w:rPr>
          <w:i w:val="0"/>
        </w:rPr>
        <w:t>ROC-AUC only cares about order, so a model can rank perfectly while its probabilities are nonsense. The Brier score of 0.196 is the mean squared error of the predicted probabilities, and the calibration curve compares predicted risk against observed risk in each decile.</w:t>
      </w:r>
    </w:p>
    <w:p>
      <w:r>
        <w:rPr>
          <w:i w:val="0"/>
        </w:rPr>
        <w:t>The curve tracks the diagonal at low probabilities and drifts slightly above it in the middle, meaning the model is a little under-confident around 0.2–0.4. Logistic Regression is naturally well calibrated because it optimises a proper scoring rule; gradient-boosted trees and random forests are usually worse. If precise probabilities were needed for expected-value calculations, the next step would be `CalibratedClassifierCV`.</w:t>
      </w:r>
    </w:p>
    <w:p>
      <w:pPr>
        <w:pStyle w:val="Heading1"/>
      </w:pPr>
      <w:r>
        <w:t>14. Cross-validation</w:t>
      </w:r>
    </w:p>
    <w:p>
      <w:r>
        <w:rPr>
          <w:i w:val="0"/>
        </w:rPr>
        <w:t>A single 80/20 split produces one number with no error bar, and that number depends on which rows happened to land where. Cross-validation repeats the experiment: split the training data into k parts, train on k−1, score the held-out part, and rotate until every part has been held out once.</w:t>
      </w:r>
    </w:p>
    <w:p>
      <w:r>
        <w:rPr>
          <w:i w:val="0"/>
        </w:rPr>
        <w:t>Stratified k-fold is used throughout, which keeps the 27% churn rate constant in every fold. With an imbalanced target, an unlucky unstratified split can produce a fold with almost no positives, and the resulting score is noise.</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3168"/>
            <w:vAlign w:val="center"/>
            <w:shd w:fill="17324D"/>
          </w:tcPr>
          <w:p>
            <w:pPr>
              <w:spacing w:after="40" w:before="40"/>
            </w:pPr>
            <w:r/>
            <w:r>
              <w:rPr>
                <w:b/>
                <w:color w:val="FFFFFF"/>
                <w:sz w:val="17"/>
              </w:rPr>
              <w:t>Fold</w:t>
            </w:r>
          </w:p>
        </w:tc>
        <w:tc>
          <w:tcPr>
            <w:tcW w:type="dxa" w:w="2304"/>
            <w:vAlign w:val="center"/>
            <w:shd w:fill="17324D"/>
          </w:tcPr>
          <w:p>
            <w:pPr>
              <w:spacing w:after="40" w:before="40"/>
            </w:pPr>
            <w:r/>
            <w:r>
              <w:rPr>
                <w:b/>
                <w:color w:val="FFFFFF"/>
                <w:sz w:val="17"/>
              </w:rPr>
              <w:t>ROC-AUC</w:t>
            </w:r>
          </w:p>
        </w:tc>
        <w:tc>
          <w:tcPr>
            <w:tcW w:type="dxa" w:w="3168"/>
            <w:vAlign w:val="center"/>
            <w:shd w:fill="17324D"/>
          </w:tcPr>
          <w:p>
            <w:pPr>
              <w:spacing w:after="40" w:before="40"/>
            </w:pPr>
            <w:r/>
            <w:r>
              <w:rPr>
                <w:b/>
                <w:color w:val="FFFFFF"/>
                <w:sz w:val="17"/>
              </w:rPr>
              <w:t>Deviation from mean</w:t>
            </w:r>
          </w:p>
        </w:tc>
      </w:tr>
      <w:tr>
        <w:trPr>
          <w:cantSplit w:val="true"/>
        </w:trPr>
        <w:tc>
          <w:tcPr>
            <w:tcW w:type="dxa" w:w="3168"/>
            <w:vAlign w:val="center"/>
          </w:tcPr>
          <w:p>
            <w:pPr>
              <w:spacing w:after="40" w:before="40"/>
            </w:pPr>
            <w:r/>
            <w:r>
              <w:rPr>
                <w:sz w:val="17"/>
              </w:rPr>
              <w:t>Fold 1</w:t>
            </w:r>
          </w:p>
        </w:tc>
        <w:tc>
          <w:tcPr>
            <w:tcW w:type="dxa" w:w="2304"/>
            <w:vAlign w:val="center"/>
          </w:tcPr>
          <w:p>
            <w:pPr>
              <w:spacing w:after="40" w:before="40"/>
              <w:jc w:val="right"/>
            </w:pPr>
            <w:r/>
            <w:r>
              <w:rPr>
                <w:sz w:val="17"/>
              </w:rPr>
              <w:t>0.801</w:t>
            </w:r>
          </w:p>
        </w:tc>
        <w:tc>
          <w:tcPr>
            <w:tcW w:type="dxa" w:w="3168"/>
            <w:vAlign w:val="center"/>
          </w:tcPr>
          <w:p>
            <w:pPr>
              <w:spacing w:after="40" w:before="40"/>
              <w:jc w:val="right"/>
            </w:pPr>
            <w:r/>
            <w:r>
              <w:rPr>
                <w:sz w:val="17"/>
              </w:rPr>
              <w:t>-0.004</w:t>
            </w:r>
          </w:p>
        </w:tc>
      </w:tr>
      <w:tr>
        <w:trPr>
          <w:cantSplit w:val="true"/>
        </w:trPr>
        <w:tc>
          <w:tcPr>
            <w:tcW w:type="dxa" w:w="3168"/>
            <w:vAlign w:val="center"/>
            <w:shd w:fill="F1F5F9"/>
          </w:tcPr>
          <w:p>
            <w:pPr>
              <w:spacing w:after="40" w:before="40"/>
            </w:pPr>
            <w:r/>
            <w:r>
              <w:rPr>
                <w:sz w:val="17"/>
              </w:rPr>
              <w:t>Fold 2</w:t>
            </w:r>
          </w:p>
        </w:tc>
        <w:tc>
          <w:tcPr>
            <w:tcW w:type="dxa" w:w="2304"/>
            <w:vAlign w:val="center"/>
            <w:shd w:fill="F1F5F9"/>
          </w:tcPr>
          <w:p>
            <w:pPr>
              <w:spacing w:after="40" w:before="40"/>
              <w:jc w:val="right"/>
            </w:pPr>
            <w:r/>
            <w:r>
              <w:rPr>
                <w:sz w:val="17"/>
              </w:rPr>
              <w:t>0.757</w:t>
            </w:r>
          </w:p>
        </w:tc>
        <w:tc>
          <w:tcPr>
            <w:tcW w:type="dxa" w:w="3168"/>
            <w:vAlign w:val="center"/>
            <w:shd w:fill="F1F5F9"/>
          </w:tcPr>
          <w:p>
            <w:pPr>
              <w:spacing w:after="40" w:before="40"/>
              <w:jc w:val="right"/>
            </w:pPr>
            <w:r/>
            <w:r>
              <w:rPr>
                <w:sz w:val="17"/>
              </w:rPr>
              <w:t>-0.048</w:t>
            </w:r>
          </w:p>
        </w:tc>
      </w:tr>
      <w:tr>
        <w:trPr>
          <w:cantSplit w:val="true"/>
        </w:trPr>
        <w:tc>
          <w:tcPr>
            <w:tcW w:type="dxa" w:w="3168"/>
            <w:vAlign w:val="center"/>
          </w:tcPr>
          <w:p>
            <w:pPr>
              <w:spacing w:after="40" w:before="40"/>
            </w:pPr>
            <w:r/>
            <w:r>
              <w:rPr>
                <w:sz w:val="17"/>
              </w:rPr>
              <w:t>Fold 3</w:t>
            </w:r>
          </w:p>
        </w:tc>
        <w:tc>
          <w:tcPr>
            <w:tcW w:type="dxa" w:w="2304"/>
            <w:vAlign w:val="center"/>
          </w:tcPr>
          <w:p>
            <w:pPr>
              <w:spacing w:after="40" w:before="40"/>
              <w:jc w:val="right"/>
            </w:pPr>
            <w:r/>
            <w:r>
              <w:rPr>
                <w:sz w:val="17"/>
              </w:rPr>
              <w:t>0.823</w:t>
            </w:r>
          </w:p>
        </w:tc>
        <w:tc>
          <w:tcPr>
            <w:tcW w:type="dxa" w:w="3168"/>
            <w:vAlign w:val="center"/>
          </w:tcPr>
          <w:p>
            <w:pPr>
              <w:spacing w:after="40" w:before="40"/>
              <w:jc w:val="right"/>
            </w:pPr>
            <w:r/>
            <w:r>
              <w:rPr>
                <w:sz w:val="17"/>
              </w:rPr>
              <w:t>+0.018</w:t>
            </w:r>
          </w:p>
        </w:tc>
      </w:tr>
      <w:tr>
        <w:trPr>
          <w:cantSplit w:val="true"/>
        </w:trPr>
        <w:tc>
          <w:tcPr>
            <w:tcW w:type="dxa" w:w="3168"/>
            <w:vAlign w:val="center"/>
            <w:shd w:fill="F1F5F9"/>
          </w:tcPr>
          <w:p>
            <w:pPr>
              <w:spacing w:after="40" w:before="40"/>
            </w:pPr>
            <w:r/>
            <w:r>
              <w:rPr>
                <w:sz w:val="17"/>
              </w:rPr>
              <w:t>Fold 4</w:t>
            </w:r>
          </w:p>
        </w:tc>
        <w:tc>
          <w:tcPr>
            <w:tcW w:type="dxa" w:w="2304"/>
            <w:vAlign w:val="center"/>
            <w:shd w:fill="F1F5F9"/>
          </w:tcPr>
          <w:p>
            <w:pPr>
              <w:spacing w:after="40" w:before="40"/>
              <w:jc w:val="right"/>
            </w:pPr>
            <w:r/>
            <w:r>
              <w:rPr>
                <w:sz w:val="17"/>
              </w:rPr>
              <w:t>0.820</w:t>
            </w:r>
          </w:p>
        </w:tc>
        <w:tc>
          <w:tcPr>
            <w:tcW w:type="dxa" w:w="3168"/>
            <w:vAlign w:val="center"/>
            <w:shd w:fill="F1F5F9"/>
          </w:tcPr>
          <w:p>
            <w:pPr>
              <w:spacing w:after="40" w:before="40"/>
              <w:jc w:val="right"/>
            </w:pPr>
            <w:r/>
            <w:r>
              <w:rPr>
                <w:sz w:val="17"/>
              </w:rPr>
              <w:t>+0.015</w:t>
            </w:r>
          </w:p>
        </w:tc>
      </w:tr>
      <w:tr>
        <w:trPr>
          <w:cantSplit w:val="true"/>
        </w:trPr>
        <w:tc>
          <w:tcPr>
            <w:tcW w:type="dxa" w:w="3168"/>
            <w:vAlign w:val="center"/>
          </w:tcPr>
          <w:p>
            <w:pPr>
              <w:spacing w:after="40" w:before="40"/>
            </w:pPr>
            <w:r/>
            <w:r>
              <w:rPr>
                <w:sz w:val="17"/>
              </w:rPr>
              <w:t>Fold 5</w:t>
            </w:r>
          </w:p>
        </w:tc>
        <w:tc>
          <w:tcPr>
            <w:tcW w:type="dxa" w:w="2304"/>
            <w:vAlign w:val="center"/>
          </w:tcPr>
          <w:p>
            <w:pPr>
              <w:spacing w:after="40" w:before="40"/>
              <w:jc w:val="right"/>
            </w:pPr>
            <w:r/>
            <w:r>
              <w:rPr>
                <w:sz w:val="17"/>
              </w:rPr>
              <w:t>0.824</w:t>
            </w:r>
          </w:p>
        </w:tc>
        <w:tc>
          <w:tcPr>
            <w:tcW w:type="dxa" w:w="3168"/>
            <w:vAlign w:val="center"/>
          </w:tcPr>
          <w:p>
            <w:pPr>
              <w:spacing w:after="40" w:before="40"/>
              <w:jc w:val="right"/>
            </w:pPr>
            <w:r/>
            <w:r>
              <w:rPr>
                <w:sz w:val="17"/>
              </w:rPr>
              <w:t>+0.019</w:t>
            </w:r>
          </w:p>
        </w:tc>
      </w:tr>
      <w:tr>
        <w:trPr>
          <w:cantSplit w:val="true"/>
        </w:trPr>
        <w:tc>
          <w:tcPr>
            <w:tcW w:type="dxa" w:w="3168"/>
            <w:vAlign w:val="center"/>
            <w:shd w:fill="F1F5F9"/>
          </w:tcPr>
          <w:p>
            <w:pPr>
              <w:spacing w:after="40" w:before="40"/>
            </w:pPr>
            <w:r/>
            <w:r>
              <w:rPr>
                <w:sz w:val="17"/>
              </w:rPr>
              <w:t>Mean</w:t>
            </w:r>
          </w:p>
        </w:tc>
        <w:tc>
          <w:tcPr>
            <w:tcW w:type="dxa" w:w="2304"/>
            <w:vAlign w:val="center"/>
            <w:shd w:fill="F1F5F9"/>
          </w:tcPr>
          <w:p>
            <w:pPr>
              <w:spacing w:after="40" w:before="40"/>
              <w:jc w:val="right"/>
            </w:pPr>
            <w:r/>
            <w:r>
              <w:rPr>
                <w:sz w:val="17"/>
              </w:rPr>
              <w:t>0.805</w:t>
            </w:r>
          </w:p>
        </w:tc>
        <w:tc>
          <w:tcPr>
            <w:tcW w:type="dxa" w:w="3168"/>
            <w:vAlign w:val="center"/>
            <w:shd w:fill="F1F5F9"/>
          </w:tcPr>
          <w:p>
            <w:pPr>
              <w:spacing w:after="40" w:before="40"/>
              <w:jc w:val="right"/>
            </w:pPr>
            <w:r/>
            <w:r>
              <w:rPr>
                <w:sz w:val="17"/>
              </w:rPr>
              <w:t>—</w:t>
            </w:r>
          </w:p>
        </w:tc>
      </w:tr>
      <w:tr>
        <w:trPr>
          <w:cantSplit w:val="true"/>
        </w:trPr>
        <w:tc>
          <w:tcPr>
            <w:tcW w:type="dxa" w:w="3168"/>
            <w:vAlign w:val="center"/>
          </w:tcPr>
          <w:p>
            <w:pPr>
              <w:spacing w:after="40" w:before="40"/>
            </w:pPr>
            <w:r/>
            <w:r>
              <w:rPr>
                <w:sz w:val="17"/>
              </w:rPr>
              <w:t>Standard deviation</w:t>
            </w:r>
          </w:p>
        </w:tc>
        <w:tc>
          <w:tcPr>
            <w:tcW w:type="dxa" w:w="2304"/>
            <w:vAlign w:val="center"/>
          </w:tcPr>
          <w:p>
            <w:pPr>
              <w:spacing w:after="40" w:before="40"/>
              <w:jc w:val="right"/>
            </w:pPr>
            <w:r/>
            <w:r>
              <w:rPr>
                <w:sz w:val="17"/>
              </w:rPr>
              <w:t>0.025</w:t>
            </w:r>
          </w:p>
        </w:tc>
        <w:tc>
          <w:tcPr>
            <w:tcW w:type="dxa" w:w="3168"/>
            <w:vAlign w:val="center"/>
          </w:tcPr>
          <w:p>
            <w:pPr>
              <w:spacing w:after="40" w:before="40"/>
              <w:jc w:val="right"/>
            </w:pPr>
            <w:r/>
            <w:r>
              <w:rPr>
                <w:sz w:val="17"/>
              </w:rPr>
              <w:t>—</w:t>
            </w:r>
          </w:p>
        </w:tc>
      </w:tr>
    </w:tbl>
    <w:p>
      <w:pPr>
        <w:spacing w:after="40" w:before="0"/>
      </w:pP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jc w:val="left"/>
            </w:pPr>
            <w:r/>
            <w:r>
              <w:rPr>
                <w:b/>
                <w:color w:val="237A7A"/>
                <w:sz w:val="19"/>
              </w:rPr>
              <w:t>The standard deviation is the point</w:t>
            </w:r>
          </w:p>
          <w:p>
            <w:pPr>
              <w:spacing w:after="120"/>
              <w:jc w:val="left"/>
            </w:pPr>
            <w:r>
              <w:rPr>
                <w:sz w:val="18"/>
              </w:rPr>
              <w:t>A mean of 0.805 with a spread of 0.025 means that two models scoring 0.800 and 0.810 are not distinguishable — the difference is smaller than the fold-to-fold noise. Every model comparison in this report is read against that band rather than against the raw digits. This is why Section 15 refuses to call a tuning winner.</w:t>
            </w:r>
          </w:p>
        </w:tc>
      </w:tr>
    </w:tbl>
    <w:p>
      <w:pPr>
        <w:spacing w:after="40"/>
      </w:pPr>
    </w:p>
    <w:p>
      <w:pPr>
        <w:pStyle w:val="Heading1"/>
      </w:pPr>
      <w:r>
        <w:t>15. Hyperparameter tuning</w:t>
      </w:r>
    </w:p>
    <w:p>
      <w:r>
        <w:rPr>
          <w:i w:val="0"/>
        </w:rPr>
        <w:t>A hyperparameter is a setting fixed before training begins. Unlike a model parameter, it is not learned from the data, so it has to be searched — and the search must be scored by cross-validation on the training split. Scoring candidate values on the test split would convert the hold-out set into a second training set and destroy its purpose.</w:t>
      </w:r>
    </w:p>
    <w:p>
      <w:pPr>
        <w:pStyle w:val="Heading2"/>
      </w:pPr>
      <w:r>
        <w:t>15.1 Logistic Regression: five values of C</w:t>
      </w:r>
    </w:p>
    <w:p>
      <w:r>
        <w:rPr>
          <w:i w:val="0"/>
        </w:rPr>
        <w:t>C is the inverse of regularisation strength. Small C means heavy regularisation and a simpler decision boundary; large C lets the model fit the training data more closely.</w:t>
      </w:r>
    </w:p>
    <w:tbl>
      <w:tblPr>
        <w:tblStyle w:val="TableGrid"/>
        <w:tblW w:type="auto" w:w="0"/>
        <w:jc w:val="center"/>
        <w:tblLayout w:type="fixed"/>
        <w:tblLook w:firstColumn="1" w:firstRow="1" w:lastColumn="0" w:lastRow="0" w:noHBand="0" w:noVBand="1" w:val="04A0"/>
      </w:tblPr>
      <w:tblGrid>
        <w:gridCol w:w="1953"/>
        <w:gridCol w:w="1953"/>
        <w:gridCol w:w="1953"/>
        <w:gridCol w:w="1953"/>
        <w:gridCol w:w="1953"/>
      </w:tblGrid>
      <w:tr>
        <w:trPr>
          <w:tblHeader w:val="true"/>
          <w:cantSplit w:val="true"/>
        </w:trPr>
        <w:tc>
          <w:tcPr>
            <w:tcW w:type="dxa" w:w="1440"/>
            <w:vAlign w:val="center"/>
            <w:shd w:fill="17324D"/>
          </w:tcPr>
          <w:p>
            <w:pPr>
              <w:spacing w:after="40" w:before="40"/>
            </w:pPr>
            <w:r/>
            <w:r>
              <w:rPr>
                <w:b/>
                <w:color w:val="FFFFFF"/>
                <w:sz w:val="17"/>
              </w:rPr>
              <w:t>C</w:t>
            </w:r>
          </w:p>
        </w:tc>
        <w:tc>
          <w:tcPr>
            <w:tcW w:type="dxa" w:w="2088"/>
            <w:vAlign w:val="center"/>
            <w:shd w:fill="17324D"/>
          </w:tcPr>
          <w:p>
            <w:pPr>
              <w:spacing w:after="40" w:before="40"/>
            </w:pPr>
            <w:r/>
            <w:r>
              <w:rPr>
                <w:b/>
                <w:color w:val="FFFFFF"/>
                <w:sz w:val="17"/>
              </w:rPr>
              <w:t>CV ROC-AUC</w:t>
            </w:r>
          </w:p>
        </w:tc>
        <w:tc>
          <w:tcPr>
            <w:tcW w:type="dxa" w:w="1656"/>
            <w:vAlign w:val="center"/>
            <w:shd w:fill="17324D"/>
          </w:tcPr>
          <w:p>
            <w:pPr>
              <w:spacing w:after="40" w:before="40"/>
            </w:pPr>
            <w:r/>
            <w:r>
              <w:rPr>
                <w:b/>
                <w:color w:val="FFFFFF"/>
                <w:sz w:val="17"/>
              </w:rPr>
              <w:t>CV std</w:t>
            </w:r>
          </w:p>
        </w:tc>
        <w:tc>
          <w:tcPr>
            <w:tcW w:type="dxa" w:w="2160"/>
            <w:vAlign w:val="center"/>
            <w:shd w:fill="17324D"/>
          </w:tcPr>
          <w:p>
            <w:pPr>
              <w:spacing w:after="40" w:before="40"/>
            </w:pPr>
            <w:r/>
            <w:r>
              <w:rPr>
                <w:b/>
                <w:color w:val="FFFFFF"/>
                <w:sz w:val="17"/>
              </w:rPr>
              <w:t>Train ROC-AUC</w:t>
            </w:r>
          </w:p>
        </w:tc>
        <w:tc>
          <w:tcPr>
            <w:tcW w:type="dxa" w:w="1296"/>
            <w:vAlign w:val="center"/>
            <w:shd w:fill="17324D"/>
          </w:tcPr>
          <w:p>
            <w:pPr>
              <w:spacing w:after="40" w:before="40"/>
            </w:pPr>
            <w:r/>
            <w:r>
              <w:rPr>
                <w:b/>
                <w:color w:val="FFFFFF"/>
                <w:sz w:val="17"/>
              </w:rPr>
              <w:t>Rank</w:t>
            </w:r>
          </w:p>
        </w:tc>
      </w:tr>
      <w:tr>
        <w:trPr>
          <w:cantSplit w:val="true"/>
        </w:trPr>
        <w:tc>
          <w:tcPr>
            <w:tcW w:type="dxa" w:w="1440"/>
            <w:vAlign w:val="center"/>
          </w:tcPr>
          <w:p>
            <w:pPr>
              <w:spacing w:after="40" w:before="40"/>
            </w:pPr>
            <w:r/>
            <w:r>
              <w:rPr>
                <w:sz w:val="17"/>
              </w:rPr>
              <w:t>0.01</w:t>
            </w:r>
          </w:p>
        </w:tc>
        <w:tc>
          <w:tcPr>
            <w:tcW w:type="dxa" w:w="2088"/>
            <w:vAlign w:val="center"/>
          </w:tcPr>
          <w:p>
            <w:pPr>
              <w:spacing w:after="40" w:before="40"/>
              <w:jc w:val="right"/>
            </w:pPr>
            <w:r/>
            <w:r>
              <w:rPr>
                <w:sz w:val="17"/>
              </w:rPr>
              <w:t>0.801</w:t>
            </w:r>
          </w:p>
        </w:tc>
        <w:tc>
          <w:tcPr>
            <w:tcW w:type="dxa" w:w="1656"/>
            <w:vAlign w:val="center"/>
          </w:tcPr>
          <w:p>
            <w:pPr>
              <w:spacing w:after="40" w:before="40"/>
              <w:jc w:val="right"/>
            </w:pPr>
            <w:r/>
            <w:r>
              <w:rPr>
                <w:sz w:val="17"/>
              </w:rPr>
              <w:t>0.027</w:t>
            </w:r>
          </w:p>
        </w:tc>
        <w:tc>
          <w:tcPr>
            <w:tcW w:type="dxa" w:w="2160"/>
            <w:vAlign w:val="center"/>
          </w:tcPr>
          <w:p>
            <w:pPr>
              <w:spacing w:after="40" w:before="40"/>
              <w:jc w:val="right"/>
            </w:pPr>
            <w:r/>
            <w:r>
              <w:rPr>
                <w:sz w:val="17"/>
              </w:rPr>
              <w:t>0.808</w:t>
            </w:r>
          </w:p>
        </w:tc>
        <w:tc>
          <w:tcPr>
            <w:tcW w:type="dxa" w:w="1296"/>
            <w:vAlign w:val="center"/>
          </w:tcPr>
          <w:p>
            <w:pPr>
              <w:spacing w:after="40" w:before="40"/>
              <w:jc w:val="right"/>
            </w:pPr>
            <w:r/>
            <w:r>
              <w:rPr>
                <w:sz w:val="17"/>
              </w:rPr>
              <w:t>5</w:t>
            </w:r>
          </w:p>
        </w:tc>
      </w:tr>
      <w:tr>
        <w:trPr>
          <w:cantSplit w:val="true"/>
        </w:trPr>
        <w:tc>
          <w:tcPr>
            <w:tcW w:type="dxa" w:w="1440"/>
            <w:vAlign w:val="center"/>
            <w:shd w:fill="F1F5F9"/>
          </w:tcPr>
          <w:p>
            <w:pPr>
              <w:spacing w:after="40" w:before="40"/>
            </w:pPr>
            <w:r/>
            <w:r>
              <w:rPr>
                <w:sz w:val="17"/>
              </w:rPr>
              <w:t>0.1</w:t>
            </w:r>
          </w:p>
        </w:tc>
        <w:tc>
          <w:tcPr>
            <w:tcW w:type="dxa" w:w="2088"/>
            <w:vAlign w:val="center"/>
            <w:shd w:fill="F1F5F9"/>
          </w:tcPr>
          <w:p>
            <w:pPr>
              <w:spacing w:after="40" w:before="40"/>
              <w:jc w:val="right"/>
            </w:pPr>
            <w:r/>
            <w:r>
              <w:rPr>
                <w:sz w:val="17"/>
              </w:rPr>
              <w:t>0.806</w:t>
            </w:r>
          </w:p>
        </w:tc>
        <w:tc>
          <w:tcPr>
            <w:tcW w:type="dxa" w:w="1656"/>
            <w:vAlign w:val="center"/>
            <w:shd w:fill="F1F5F9"/>
          </w:tcPr>
          <w:p>
            <w:pPr>
              <w:spacing w:after="40" w:before="40"/>
              <w:jc w:val="right"/>
            </w:pPr>
            <w:r/>
            <w:r>
              <w:rPr>
                <w:sz w:val="17"/>
              </w:rPr>
              <w:t>0.026</w:t>
            </w:r>
          </w:p>
        </w:tc>
        <w:tc>
          <w:tcPr>
            <w:tcW w:type="dxa" w:w="2160"/>
            <w:vAlign w:val="center"/>
            <w:shd w:fill="F1F5F9"/>
          </w:tcPr>
          <w:p>
            <w:pPr>
              <w:spacing w:after="40" w:before="40"/>
              <w:jc w:val="right"/>
            </w:pPr>
            <w:r/>
            <w:r>
              <w:rPr>
                <w:sz w:val="17"/>
              </w:rPr>
              <w:t>0.817</w:t>
            </w:r>
          </w:p>
        </w:tc>
        <w:tc>
          <w:tcPr>
            <w:tcW w:type="dxa" w:w="1296"/>
            <w:vAlign w:val="center"/>
            <w:shd w:fill="F1F5F9"/>
          </w:tcPr>
          <w:p>
            <w:pPr>
              <w:spacing w:after="40" w:before="40"/>
              <w:jc w:val="right"/>
            </w:pPr>
            <w:r/>
            <w:r>
              <w:rPr>
                <w:sz w:val="17"/>
              </w:rPr>
              <w:t>1</w:t>
            </w:r>
          </w:p>
        </w:tc>
      </w:tr>
      <w:tr>
        <w:trPr>
          <w:cantSplit w:val="true"/>
        </w:trPr>
        <w:tc>
          <w:tcPr>
            <w:tcW w:type="dxa" w:w="1440"/>
            <w:vAlign w:val="center"/>
          </w:tcPr>
          <w:p>
            <w:pPr>
              <w:spacing w:after="40" w:before="40"/>
            </w:pPr>
            <w:r/>
            <w:r>
              <w:rPr>
                <w:sz w:val="17"/>
              </w:rPr>
              <w:t>1</w:t>
            </w:r>
          </w:p>
        </w:tc>
        <w:tc>
          <w:tcPr>
            <w:tcW w:type="dxa" w:w="2088"/>
            <w:vAlign w:val="center"/>
          </w:tcPr>
          <w:p>
            <w:pPr>
              <w:spacing w:after="40" w:before="40"/>
              <w:jc w:val="right"/>
            </w:pPr>
            <w:r/>
            <w:r>
              <w:rPr>
                <w:sz w:val="17"/>
              </w:rPr>
              <w:t>0.805</w:t>
            </w:r>
          </w:p>
        </w:tc>
        <w:tc>
          <w:tcPr>
            <w:tcW w:type="dxa" w:w="1656"/>
            <w:vAlign w:val="center"/>
          </w:tcPr>
          <w:p>
            <w:pPr>
              <w:spacing w:after="40" w:before="40"/>
              <w:jc w:val="right"/>
            </w:pPr>
            <w:r/>
            <w:r>
              <w:rPr>
                <w:sz w:val="17"/>
              </w:rPr>
              <w:t>0.025</w:t>
            </w:r>
          </w:p>
        </w:tc>
        <w:tc>
          <w:tcPr>
            <w:tcW w:type="dxa" w:w="2160"/>
            <w:vAlign w:val="center"/>
          </w:tcPr>
          <w:p>
            <w:pPr>
              <w:spacing w:after="40" w:before="40"/>
              <w:jc w:val="right"/>
            </w:pPr>
            <w:r/>
            <w:r>
              <w:rPr>
                <w:sz w:val="17"/>
              </w:rPr>
              <w:t>0.818</w:t>
            </w:r>
          </w:p>
        </w:tc>
        <w:tc>
          <w:tcPr>
            <w:tcW w:type="dxa" w:w="1296"/>
            <w:vAlign w:val="center"/>
          </w:tcPr>
          <w:p>
            <w:pPr>
              <w:spacing w:after="40" w:before="40"/>
              <w:jc w:val="right"/>
            </w:pPr>
            <w:r/>
            <w:r>
              <w:rPr>
                <w:sz w:val="17"/>
              </w:rPr>
              <w:t>2</w:t>
            </w:r>
          </w:p>
        </w:tc>
      </w:tr>
      <w:tr>
        <w:trPr>
          <w:cantSplit w:val="true"/>
        </w:trPr>
        <w:tc>
          <w:tcPr>
            <w:tcW w:type="dxa" w:w="1440"/>
            <w:vAlign w:val="center"/>
            <w:shd w:fill="F1F5F9"/>
          </w:tcPr>
          <w:p>
            <w:pPr>
              <w:spacing w:after="40" w:before="40"/>
            </w:pPr>
            <w:r/>
            <w:r>
              <w:rPr>
                <w:sz w:val="17"/>
              </w:rPr>
              <w:t>10</w:t>
            </w:r>
          </w:p>
        </w:tc>
        <w:tc>
          <w:tcPr>
            <w:tcW w:type="dxa" w:w="2088"/>
            <w:vAlign w:val="center"/>
            <w:shd w:fill="F1F5F9"/>
          </w:tcPr>
          <w:p>
            <w:pPr>
              <w:spacing w:after="40" w:before="40"/>
              <w:jc w:val="right"/>
            </w:pPr>
            <w:r/>
            <w:r>
              <w:rPr>
                <w:sz w:val="17"/>
              </w:rPr>
              <w:t>0.805</w:t>
            </w:r>
          </w:p>
        </w:tc>
        <w:tc>
          <w:tcPr>
            <w:tcW w:type="dxa" w:w="1656"/>
            <w:vAlign w:val="center"/>
            <w:shd w:fill="F1F5F9"/>
          </w:tcPr>
          <w:p>
            <w:pPr>
              <w:spacing w:after="40" w:before="40"/>
              <w:jc w:val="right"/>
            </w:pPr>
            <w:r/>
            <w:r>
              <w:rPr>
                <w:sz w:val="17"/>
              </w:rPr>
              <w:t>0.025</w:t>
            </w:r>
          </w:p>
        </w:tc>
        <w:tc>
          <w:tcPr>
            <w:tcW w:type="dxa" w:w="2160"/>
            <w:vAlign w:val="center"/>
            <w:shd w:fill="F1F5F9"/>
          </w:tcPr>
          <w:p>
            <w:pPr>
              <w:spacing w:after="40" w:before="40"/>
              <w:jc w:val="right"/>
            </w:pPr>
            <w:r/>
            <w:r>
              <w:rPr>
                <w:sz w:val="17"/>
              </w:rPr>
              <w:t>0.818</w:t>
            </w:r>
          </w:p>
        </w:tc>
        <w:tc>
          <w:tcPr>
            <w:tcW w:type="dxa" w:w="1296"/>
            <w:vAlign w:val="center"/>
            <w:shd w:fill="F1F5F9"/>
          </w:tcPr>
          <w:p>
            <w:pPr>
              <w:spacing w:after="40" w:before="40"/>
              <w:jc w:val="right"/>
            </w:pPr>
            <w:r/>
            <w:r>
              <w:rPr>
                <w:sz w:val="17"/>
              </w:rPr>
              <w:t>4</w:t>
            </w:r>
          </w:p>
        </w:tc>
      </w:tr>
      <w:tr>
        <w:trPr>
          <w:cantSplit w:val="true"/>
        </w:trPr>
        <w:tc>
          <w:tcPr>
            <w:tcW w:type="dxa" w:w="1440"/>
            <w:vAlign w:val="center"/>
          </w:tcPr>
          <w:p>
            <w:pPr>
              <w:spacing w:after="40" w:before="40"/>
            </w:pPr>
            <w:r/>
            <w:r>
              <w:rPr>
                <w:sz w:val="17"/>
              </w:rPr>
              <w:t>100</w:t>
            </w:r>
          </w:p>
        </w:tc>
        <w:tc>
          <w:tcPr>
            <w:tcW w:type="dxa" w:w="2088"/>
            <w:vAlign w:val="center"/>
          </w:tcPr>
          <w:p>
            <w:pPr>
              <w:spacing w:after="40" w:before="40"/>
              <w:jc w:val="right"/>
            </w:pPr>
            <w:r/>
            <w:r>
              <w:rPr>
                <w:sz w:val="17"/>
              </w:rPr>
              <w:t>0.805</w:t>
            </w:r>
          </w:p>
        </w:tc>
        <w:tc>
          <w:tcPr>
            <w:tcW w:type="dxa" w:w="1656"/>
            <w:vAlign w:val="center"/>
          </w:tcPr>
          <w:p>
            <w:pPr>
              <w:spacing w:after="40" w:before="40"/>
              <w:jc w:val="right"/>
            </w:pPr>
            <w:r/>
            <w:r>
              <w:rPr>
                <w:sz w:val="17"/>
              </w:rPr>
              <w:t>0.025</w:t>
            </w:r>
          </w:p>
        </w:tc>
        <w:tc>
          <w:tcPr>
            <w:tcW w:type="dxa" w:w="2160"/>
            <w:vAlign w:val="center"/>
          </w:tcPr>
          <w:p>
            <w:pPr>
              <w:spacing w:after="40" w:before="40"/>
              <w:jc w:val="right"/>
            </w:pPr>
            <w:r/>
            <w:r>
              <w:rPr>
                <w:sz w:val="17"/>
              </w:rPr>
              <w:t>0.818</w:t>
            </w:r>
          </w:p>
        </w:tc>
        <w:tc>
          <w:tcPr>
            <w:tcW w:type="dxa" w:w="1296"/>
            <w:vAlign w:val="center"/>
          </w:tcPr>
          <w:p>
            <w:pPr>
              <w:spacing w:after="40" w:before="40"/>
              <w:jc w:val="right"/>
            </w:pPr>
            <w:r/>
            <w:r>
              <w:rPr>
                <w:sz w:val="17"/>
              </w:rPr>
              <w:t>3</w:t>
            </w:r>
          </w:p>
        </w:tc>
      </w:tr>
    </w:tbl>
    <w:p>
      <w:pPr>
        <w:spacing w:after="40" w:before="0"/>
      </w:pPr>
    </w:p>
    <w:p>
      <w:pPr>
        <w:spacing w:before="80" w:after="40"/>
        <w:jc w:val="center"/>
      </w:pPr>
      <w:r>
        <w:drawing>
          <wp:inline xmlns:a="http://schemas.openxmlformats.org/drawingml/2006/main" xmlns:pic="http://schemas.openxmlformats.org/drawingml/2006/picture">
            <wp:extent cx="5760720" cy="2066599"/>
            <wp:docPr id="13" name="Picture 13"/>
            <wp:cNvGraphicFramePr>
              <a:graphicFrameLocks noChangeAspect="1"/>
            </wp:cNvGraphicFramePr>
            <a:graphic>
              <a:graphicData uri="http://schemas.openxmlformats.org/drawingml/2006/picture">
                <pic:pic>
                  <pic:nvPicPr>
                    <pic:cNvPr id="0" name="12_tuning_results.png"/>
                    <pic:cNvPicPr/>
                  </pic:nvPicPr>
                  <pic:blipFill>
                    <a:blip r:embed="rId23"/>
                    <a:stretch>
                      <a:fillRect/>
                    </a:stretch>
                  </pic:blipFill>
                  <pic:spPr>
                    <a:xfrm>
                      <a:off x="0" y="0"/>
                      <a:ext cx="5760720" cy="2066599"/>
                    </a:xfrm>
                    <a:prstGeom prst="rect"/>
                  </pic:spPr>
                </pic:pic>
              </a:graphicData>
            </a:graphic>
          </wp:inline>
        </w:drawing>
      </w:r>
    </w:p>
    <w:p>
      <w:pPr>
        <w:spacing w:before="40" w:after="200"/>
        <w:jc w:val="center"/>
      </w:pPr>
      <w:r>
        <w:rPr>
          <w:i/>
          <w:color w:val="7A8794"/>
          <w:sz w:val="16"/>
        </w:rPr>
        <w:t>Figure 13 — Left: the C sweep is flat across four orders of magnitude. Right: all 32 Random Forest combinations, which span less than one standard deviation of fold noise.</w:t>
      </w:r>
    </w:p>
    <w:p>
      <w:r>
        <w:rPr>
          <w:i w:val="0"/>
        </w:rPr>
        <w:t>The best value is C = 0.1, at 0.806. The runner-up, C = 1, scores 0.805. The winner leads by 0.0006 — roughly twenty-five times smaller than the fold-to-fold standard deviation of 0.026.</w:t>
      </w:r>
    </w:p>
    <w:p>
      <w:r>
        <w:rPr>
          <w:i w:val="0"/>
        </w:rPr>
        <w:t>The honest conclusion is not that C = 0.1 is the best value. It is that C is not a lever that matters for this problem. The default of 1.0 was already at the optimum, and searching four orders of magnitude around it found nothing.</w:t>
      </w:r>
    </w:p>
    <w:p>
      <w:pPr>
        <w:pStyle w:val="Heading2"/>
      </w:pPr>
      <w:r>
        <w:t>15.2 Random Forest: thirty-two combinations</w:t>
      </w:r>
    </w:p>
    <w:p>
      <w:r>
        <w:rPr>
          <w:i w:val="0"/>
        </w:rPr>
        <w:t>The forest exposes four hyperparameters, and the grid covers 32 combinations. A summary of the top eight is below; the full table is in `outputs/tuning_grid_random_forest.csv`.</w:t>
      </w:r>
    </w:p>
    <w:tbl>
      <w:tblPr>
        <w:tblStyle w:val="TableGrid"/>
        <w:tblW w:type="auto" w:w="0"/>
        <w:jc w:val="center"/>
        <w:tblLayout w:type="fixed"/>
        <w:tblLook w:firstColumn="1" w:firstRow="1" w:lastColumn="0" w:lastRow="0" w:noHBand="0" w:noVBand="1" w:val="04A0"/>
      </w:tblPr>
      <w:tblGrid>
        <w:gridCol w:w="1627"/>
        <w:gridCol w:w="1627"/>
        <w:gridCol w:w="1627"/>
        <w:gridCol w:w="1627"/>
        <w:gridCol w:w="1627"/>
        <w:gridCol w:w="1627"/>
      </w:tblGrid>
      <w:tr>
        <w:trPr>
          <w:tblHeader w:val="true"/>
          <w:cantSplit w:val="true"/>
        </w:trPr>
        <w:tc>
          <w:tcPr>
            <w:tcW w:type="dxa" w:w="1440"/>
            <w:vAlign w:val="center"/>
            <w:shd w:fill="17324D"/>
          </w:tcPr>
          <w:p>
            <w:pPr>
              <w:spacing w:after="40" w:before="40"/>
            </w:pPr>
            <w:r/>
            <w:r>
              <w:rPr>
                <w:b/>
                <w:color w:val="FFFFFF"/>
                <w:sz w:val="17"/>
              </w:rPr>
              <w:t>max_depth</w:t>
            </w:r>
          </w:p>
        </w:tc>
        <w:tc>
          <w:tcPr>
            <w:tcW w:type="dxa" w:w="1944"/>
            <w:vAlign w:val="center"/>
            <w:shd w:fill="17324D"/>
          </w:tcPr>
          <w:p>
            <w:pPr>
              <w:spacing w:after="40" w:before="40"/>
            </w:pPr>
            <w:r/>
            <w:r>
              <w:rPr>
                <w:b/>
                <w:color w:val="FFFFFF"/>
                <w:sz w:val="17"/>
              </w:rPr>
              <w:t>min_samples_leaf</w:t>
            </w:r>
          </w:p>
        </w:tc>
        <w:tc>
          <w:tcPr>
            <w:tcW w:type="dxa" w:w="1728"/>
            <w:vAlign w:val="center"/>
            <w:shd w:fill="17324D"/>
          </w:tcPr>
          <w:p>
            <w:pPr>
              <w:spacing w:after="40" w:before="40"/>
            </w:pPr>
            <w:r/>
            <w:r>
              <w:rPr>
                <w:b/>
                <w:color w:val="FFFFFF"/>
                <w:sz w:val="17"/>
              </w:rPr>
              <w:t>max_features</w:t>
            </w:r>
          </w:p>
        </w:tc>
        <w:tc>
          <w:tcPr>
            <w:tcW w:type="dxa" w:w="1656"/>
            <w:vAlign w:val="center"/>
            <w:shd w:fill="17324D"/>
          </w:tcPr>
          <w:p>
            <w:pPr>
              <w:spacing w:after="40" w:before="40"/>
            </w:pPr>
            <w:r/>
            <w:r>
              <w:rPr>
                <w:b/>
                <w:color w:val="FFFFFF"/>
                <w:sz w:val="17"/>
              </w:rPr>
              <w:t>n_estimators</w:t>
            </w:r>
          </w:p>
        </w:tc>
        <w:tc>
          <w:tcPr>
            <w:tcW w:type="dxa" w:w="1656"/>
            <w:vAlign w:val="center"/>
            <w:shd w:fill="17324D"/>
          </w:tcPr>
          <w:p>
            <w:pPr>
              <w:spacing w:after="40" w:before="40"/>
            </w:pPr>
            <w:r/>
            <w:r>
              <w:rPr>
                <w:b/>
                <w:color w:val="FFFFFF"/>
                <w:sz w:val="17"/>
              </w:rPr>
              <w:t>CV ROC-AUC</w:t>
            </w:r>
          </w:p>
        </w:tc>
        <w:tc>
          <w:tcPr>
            <w:tcW w:type="dxa" w:w="1224"/>
            <w:vAlign w:val="center"/>
            <w:shd w:fill="17324D"/>
          </w:tcPr>
          <w:p>
            <w:pPr>
              <w:spacing w:after="40" w:before="40"/>
            </w:pPr>
            <w:r/>
            <w:r>
              <w:rPr>
                <w:b/>
                <w:color w:val="FFFFFF"/>
                <w:sz w:val="17"/>
              </w:rPr>
              <w:t>Train</w:t>
            </w:r>
          </w:p>
        </w:tc>
      </w:tr>
      <w:tr>
        <w:trPr>
          <w:cantSplit w:val="true"/>
        </w:trPr>
        <w:tc>
          <w:tcPr>
            <w:tcW w:type="dxa" w:w="1440"/>
            <w:vAlign w:val="center"/>
          </w:tcPr>
          <w:p>
            <w:pPr>
              <w:spacing w:after="40" w:before="40"/>
            </w:pPr>
            <w:r/>
            <w:r>
              <w:rPr>
                <w:sz w:val="17"/>
              </w:rPr>
              <w:t>8</w:t>
            </w:r>
          </w:p>
        </w:tc>
        <w:tc>
          <w:tcPr>
            <w:tcW w:type="dxa" w:w="1944"/>
            <w:vAlign w:val="center"/>
          </w:tcPr>
          <w:p>
            <w:pPr>
              <w:spacing w:after="40" w:before="40"/>
            </w:pPr>
            <w:r/>
            <w:r>
              <w:rPr>
                <w:sz w:val="17"/>
              </w:rPr>
              <w:t>5</w:t>
            </w:r>
          </w:p>
        </w:tc>
        <w:tc>
          <w:tcPr>
            <w:tcW w:type="dxa" w:w="1728"/>
            <w:vAlign w:val="center"/>
          </w:tcPr>
          <w:p>
            <w:pPr>
              <w:spacing w:after="40" w:before="40"/>
            </w:pPr>
            <w:r/>
            <w:r>
              <w:rPr>
                <w:sz w:val="17"/>
              </w:rPr>
              <w:t>sqrt</w:t>
            </w:r>
          </w:p>
        </w:tc>
        <w:tc>
          <w:tcPr>
            <w:tcW w:type="dxa" w:w="1656"/>
            <w:vAlign w:val="center"/>
          </w:tcPr>
          <w:p>
            <w:pPr>
              <w:spacing w:after="40" w:before="40"/>
            </w:pPr>
            <w:r/>
            <w:r>
              <w:rPr>
                <w:sz w:val="17"/>
              </w:rPr>
              <w:t>300</w:t>
            </w:r>
          </w:p>
        </w:tc>
        <w:tc>
          <w:tcPr>
            <w:tcW w:type="dxa" w:w="1656"/>
            <w:vAlign w:val="center"/>
          </w:tcPr>
          <w:p>
            <w:pPr>
              <w:spacing w:after="40" w:before="40"/>
              <w:jc w:val="right"/>
            </w:pPr>
            <w:r/>
            <w:r>
              <w:rPr>
                <w:sz w:val="17"/>
              </w:rPr>
              <w:t>0.799</w:t>
            </w:r>
          </w:p>
        </w:tc>
        <w:tc>
          <w:tcPr>
            <w:tcW w:type="dxa" w:w="1224"/>
            <w:vAlign w:val="center"/>
          </w:tcPr>
          <w:p>
            <w:pPr>
              <w:spacing w:after="40" w:before="40"/>
              <w:jc w:val="right"/>
            </w:pPr>
            <w:r/>
            <w:r>
              <w:rPr>
                <w:sz w:val="17"/>
              </w:rPr>
              <w:t>0.919</w:t>
            </w:r>
          </w:p>
        </w:tc>
      </w:tr>
      <w:tr>
        <w:trPr>
          <w:cantSplit w:val="true"/>
        </w:trPr>
        <w:tc>
          <w:tcPr>
            <w:tcW w:type="dxa" w:w="1440"/>
            <w:vAlign w:val="center"/>
            <w:shd w:fill="F1F5F9"/>
          </w:tcPr>
          <w:p>
            <w:pPr>
              <w:spacing w:after="40" w:before="40"/>
            </w:pPr>
            <w:r/>
            <w:r>
              <w:rPr>
                <w:sz w:val="17"/>
              </w:rPr>
              <w:t>6</w:t>
            </w:r>
          </w:p>
        </w:tc>
        <w:tc>
          <w:tcPr>
            <w:tcW w:type="dxa" w:w="1944"/>
            <w:vAlign w:val="center"/>
            <w:shd w:fill="F1F5F9"/>
          </w:tcPr>
          <w:p>
            <w:pPr>
              <w:spacing w:after="40" w:before="40"/>
            </w:pPr>
            <w:r/>
            <w:r>
              <w:rPr>
                <w:sz w:val="17"/>
              </w:rPr>
              <w:t>1</w:t>
            </w:r>
          </w:p>
        </w:tc>
        <w:tc>
          <w:tcPr>
            <w:tcW w:type="dxa" w:w="1728"/>
            <w:vAlign w:val="center"/>
            <w:shd w:fill="F1F5F9"/>
          </w:tcPr>
          <w:p>
            <w:pPr>
              <w:spacing w:after="40" w:before="40"/>
            </w:pPr>
            <w:r/>
            <w:r>
              <w:rPr>
                <w:sz w:val="17"/>
              </w:rPr>
              <w:t>sqrt</w:t>
            </w:r>
          </w:p>
        </w:tc>
        <w:tc>
          <w:tcPr>
            <w:tcW w:type="dxa" w:w="1656"/>
            <w:vAlign w:val="center"/>
            <w:shd w:fill="F1F5F9"/>
          </w:tcPr>
          <w:p>
            <w:pPr>
              <w:spacing w:after="40" w:before="40"/>
            </w:pPr>
            <w:r/>
            <w:r>
              <w:rPr>
                <w:sz w:val="17"/>
              </w:rPr>
              <w:t>300</w:t>
            </w:r>
          </w:p>
        </w:tc>
        <w:tc>
          <w:tcPr>
            <w:tcW w:type="dxa" w:w="1656"/>
            <w:vAlign w:val="center"/>
            <w:shd w:fill="F1F5F9"/>
          </w:tcPr>
          <w:p>
            <w:pPr>
              <w:spacing w:after="40" w:before="40"/>
              <w:jc w:val="right"/>
            </w:pPr>
            <w:r/>
            <w:r>
              <w:rPr>
                <w:sz w:val="17"/>
              </w:rPr>
              <w:t>0.799</w:t>
            </w:r>
          </w:p>
        </w:tc>
        <w:tc>
          <w:tcPr>
            <w:tcW w:type="dxa" w:w="1224"/>
            <w:vAlign w:val="center"/>
            <w:shd w:fill="F1F5F9"/>
          </w:tcPr>
          <w:p>
            <w:pPr>
              <w:spacing w:after="40" w:before="40"/>
              <w:jc w:val="right"/>
            </w:pPr>
            <w:r/>
            <w:r>
              <w:rPr>
                <w:sz w:val="17"/>
              </w:rPr>
              <w:t>0.908</w:t>
            </w:r>
          </w:p>
        </w:tc>
      </w:tr>
      <w:tr>
        <w:trPr>
          <w:cantSplit w:val="true"/>
        </w:trPr>
        <w:tc>
          <w:tcPr>
            <w:tcW w:type="dxa" w:w="1440"/>
            <w:vAlign w:val="center"/>
          </w:tcPr>
          <w:p>
            <w:pPr>
              <w:spacing w:after="40" w:before="40"/>
            </w:pPr>
            <w:r/>
            <w:r>
              <w:rPr>
                <w:sz w:val="17"/>
              </w:rPr>
              <w:t>8</w:t>
            </w:r>
          </w:p>
        </w:tc>
        <w:tc>
          <w:tcPr>
            <w:tcW w:type="dxa" w:w="1944"/>
            <w:vAlign w:val="center"/>
          </w:tcPr>
          <w:p>
            <w:pPr>
              <w:spacing w:after="40" w:before="40"/>
            </w:pPr>
            <w:r/>
            <w:r>
              <w:rPr>
                <w:sz w:val="17"/>
              </w:rPr>
              <w:t>5</w:t>
            </w:r>
          </w:p>
        </w:tc>
        <w:tc>
          <w:tcPr>
            <w:tcW w:type="dxa" w:w="1728"/>
            <w:vAlign w:val="center"/>
          </w:tcPr>
          <w:p>
            <w:pPr>
              <w:spacing w:after="40" w:before="40"/>
            </w:pPr>
            <w:r/>
            <w:r>
              <w:rPr>
                <w:sz w:val="17"/>
              </w:rPr>
              <w:t>sqrt</w:t>
            </w:r>
          </w:p>
        </w:tc>
        <w:tc>
          <w:tcPr>
            <w:tcW w:type="dxa" w:w="1656"/>
            <w:vAlign w:val="center"/>
          </w:tcPr>
          <w:p>
            <w:pPr>
              <w:spacing w:after="40" w:before="40"/>
            </w:pPr>
            <w:r/>
            <w:r>
              <w:rPr>
                <w:sz w:val="17"/>
              </w:rPr>
              <w:t>150</w:t>
            </w:r>
          </w:p>
        </w:tc>
        <w:tc>
          <w:tcPr>
            <w:tcW w:type="dxa" w:w="1656"/>
            <w:vAlign w:val="center"/>
          </w:tcPr>
          <w:p>
            <w:pPr>
              <w:spacing w:after="40" w:before="40"/>
              <w:jc w:val="right"/>
            </w:pPr>
            <w:r/>
            <w:r>
              <w:rPr>
                <w:sz w:val="17"/>
              </w:rPr>
              <w:t>0.798</w:t>
            </w:r>
          </w:p>
        </w:tc>
        <w:tc>
          <w:tcPr>
            <w:tcW w:type="dxa" w:w="1224"/>
            <w:vAlign w:val="center"/>
          </w:tcPr>
          <w:p>
            <w:pPr>
              <w:spacing w:after="40" w:before="40"/>
              <w:jc w:val="right"/>
            </w:pPr>
            <w:r/>
            <w:r>
              <w:rPr>
                <w:sz w:val="17"/>
              </w:rPr>
              <w:t>0.919</w:t>
            </w:r>
          </w:p>
        </w:tc>
      </w:tr>
      <w:tr>
        <w:trPr>
          <w:cantSplit w:val="true"/>
        </w:trPr>
        <w:tc>
          <w:tcPr>
            <w:tcW w:type="dxa" w:w="1440"/>
            <w:vAlign w:val="center"/>
            <w:shd w:fill="F1F5F9"/>
          </w:tcPr>
          <w:p>
            <w:pPr>
              <w:spacing w:after="40" w:before="40"/>
            </w:pPr>
            <w:r/>
            <w:r>
              <w:rPr>
                <w:sz w:val="17"/>
              </w:rPr>
              <w:t>4</w:t>
            </w:r>
          </w:p>
        </w:tc>
        <w:tc>
          <w:tcPr>
            <w:tcW w:type="dxa" w:w="1944"/>
            <w:vAlign w:val="center"/>
            <w:shd w:fill="F1F5F9"/>
          </w:tcPr>
          <w:p>
            <w:pPr>
              <w:spacing w:after="40" w:before="40"/>
            </w:pPr>
            <w:r/>
            <w:r>
              <w:rPr>
                <w:sz w:val="17"/>
              </w:rPr>
              <w:t>1</w:t>
            </w:r>
          </w:p>
        </w:tc>
        <w:tc>
          <w:tcPr>
            <w:tcW w:type="dxa" w:w="1728"/>
            <w:vAlign w:val="center"/>
            <w:shd w:fill="F1F5F9"/>
          </w:tcPr>
          <w:p>
            <w:pPr>
              <w:spacing w:after="40" w:before="40"/>
            </w:pPr>
            <w:r/>
            <w:r>
              <w:rPr>
                <w:sz w:val="17"/>
              </w:rPr>
              <w:t>sqrt</w:t>
            </w:r>
          </w:p>
        </w:tc>
        <w:tc>
          <w:tcPr>
            <w:tcW w:type="dxa" w:w="1656"/>
            <w:vAlign w:val="center"/>
            <w:shd w:fill="F1F5F9"/>
          </w:tcPr>
          <w:p>
            <w:pPr>
              <w:spacing w:after="40" w:before="40"/>
            </w:pPr>
            <w:r/>
            <w:r>
              <w:rPr>
                <w:sz w:val="17"/>
              </w:rPr>
              <w:t>150</w:t>
            </w:r>
          </w:p>
        </w:tc>
        <w:tc>
          <w:tcPr>
            <w:tcW w:type="dxa" w:w="1656"/>
            <w:vAlign w:val="center"/>
            <w:shd w:fill="F1F5F9"/>
          </w:tcPr>
          <w:p>
            <w:pPr>
              <w:spacing w:after="40" w:before="40"/>
              <w:jc w:val="right"/>
            </w:pPr>
            <w:r/>
            <w:r>
              <w:rPr>
                <w:sz w:val="17"/>
              </w:rPr>
              <w:t>0.798</w:t>
            </w:r>
          </w:p>
        </w:tc>
        <w:tc>
          <w:tcPr>
            <w:tcW w:type="dxa" w:w="1224"/>
            <w:vAlign w:val="center"/>
            <w:shd w:fill="F1F5F9"/>
          </w:tcPr>
          <w:p>
            <w:pPr>
              <w:spacing w:after="40" w:before="40"/>
              <w:jc w:val="right"/>
            </w:pPr>
            <w:r/>
            <w:r>
              <w:rPr>
                <w:sz w:val="17"/>
              </w:rPr>
              <w:t>0.849</w:t>
            </w:r>
          </w:p>
        </w:tc>
      </w:tr>
      <w:tr>
        <w:trPr>
          <w:cantSplit w:val="true"/>
        </w:trPr>
        <w:tc>
          <w:tcPr>
            <w:tcW w:type="dxa" w:w="1440"/>
            <w:vAlign w:val="center"/>
          </w:tcPr>
          <w:p>
            <w:pPr>
              <w:spacing w:after="40" w:before="40"/>
            </w:pPr>
            <w:r/>
            <w:r>
              <w:rPr>
                <w:sz w:val="17"/>
              </w:rPr>
              <w:t>4</w:t>
            </w:r>
          </w:p>
        </w:tc>
        <w:tc>
          <w:tcPr>
            <w:tcW w:type="dxa" w:w="1944"/>
            <w:vAlign w:val="center"/>
          </w:tcPr>
          <w:p>
            <w:pPr>
              <w:spacing w:after="40" w:before="40"/>
            </w:pPr>
            <w:r/>
            <w:r>
              <w:rPr>
                <w:sz w:val="17"/>
              </w:rPr>
              <w:t>5</w:t>
            </w:r>
          </w:p>
        </w:tc>
        <w:tc>
          <w:tcPr>
            <w:tcW w:type="dxa" w:w="1728"/>
            <w:vAlign w:val="center"/>
          </w:tcPr>
          <w:p>
            <w:pPr>
              <w:spacing w:after="40" w:before="40"/>
            </w:pPr>
            <w:r/>
            <w:r>
              <w:rPr>
                <w:sz w:val="17"/>
              </w:rPr>
              <w:t>sqrt</w:t>
            </w:r>
          </w:p>
        </w:tc>
        <w:tc>
          <w:tcPr>
            <w:tcW w:type="dxa" w:w="1656"/>
            <w:vAlign w:val="center"/>
          </w:tcPr>
          <w:p>
            <w:pPr>
              <w:spacing w:after="40" w:before="40"/>
            </w:pPr>
            <w:r/>
            <w:r>
              <w:rPr>
                <w:sz w:val="17"/>
              </w:rPr>
              <w:t>150</w:t>
            </w:r>
          </w:p>
        </w:tc>
        <w:tc>
          <w:tcPr>
            <w:tcW w:type="dxa" w:w="1656"/>
            <w:vAlign w:val="center"/>
          </w:tcPr>
          <w:p>
            <w:pPr>
              <w:spacing w:after="40" w:before="40"/>
              <w:jc w:val="right"/>
            </w:pPr>
            <w:r/>
            <w:r>
              <w:rPr>
                <w:sz w:val="17"/>
              </w:rPr>
              <w:t>0.798</w:t>
            </w:r>
          </w:p>
        </w:tc>
        <w:tc>
          <w:tcPr>
            <w:tcW w:type="dxa" w:w="1224"/>
            <w:vAlign w:val="center"/>
          </w:tcPr>
          <w:p>
            <w:pPr>
              <w:spacing w:after="40" w:before="40"/>
              <w:jc w:val="right"/>
            </w:pPr>
            <w:r/>
            <w:r>
              <w:rPr>
                <w:sz w:val="17"/>
              </w:rPr>
              <w:t>0.846</w:t>
            </w:r>
          </w:p>
        </w:tc>
      </w:tr>
      <w:tr>
        <w:trPr>
          <w:cantSplit w:val="true"/>
        </w:trPr>
        <w:tc>
          <w:tcPr>
            <w:tcW w:type="dxa" w:w="1440"/>
            <w:vAlign w:val="center"/>
            <w:shd w:fill="F1F5F9"/>
          </w:tcPr>
          <w:p>
            <w:pPr>
              <w:spacing w:after="40" w:before="40"/>
            </w:pPr>
            <w:r/>
            <w:r>
              <w:rPr>
                <w:sz w:val="17"/>
              </w:rPr>
              <w:t>4</w:t>
            </w:r>
          </w:p>
        </w:tc>
        <w:tc>
          <w:tcPr>
            <w:tcW w:type="dxa" w:w="1944"/>
            <w:vAlign w:val="center"/>
            <w:shd w:fill="F1F5F9"/>
          </w:tcPr>
          <w:p>
            <w:pPr>
              <w:spacing w:after="40" w:before="40"/>
            </w:pPr>
            <w:r/>
            <w:r>
              <w:rPr>
                <w:sz w:val="17"/>
              </w:rPr>
              <w:t>1</w:t>
            </w:r>
          </w:p>
        </w:tc>
        <w:tc>
          <w:tcPr>
            <w:tcW w:type="dxa" w:w="1728"/>
            <w:vAlign w:val="center"/>
            <w:shd w:fill="F1F5F9"/>
          </w:tcPr>
          <w:p>
            <w:pPr>
              <w:spacing w:after="40" w:before="40"/>
            </w:pPr>
            <w:r/>
            <w:r>
              <w:rPr>
                <w:sz w:val="17"/>
              </w:rPr>
              <w:t>sqrt</w:t>
            </w:r>
          </w:p>
        </w:tc>
        <w:tc>
          <w:tcPr>
            <w:tcW w:type="dxa" w:w="1656"/>
            <w:vAlign w:val="center"/>
            <w:shd w:fill="F1F5F9"/>
          </w:tcPr>
          <w:p>
            <w:pPr>
              <w:spacing w:after="40" w:before="40"/>
            </w:pPr>
            <w:r/>
            <w:r>
              <w:rPr>
                <w:sz w:val="17"/>
              </w:rPr>
              <w:t>300</w:t>
            </w:r>
          </w:p>
        </w:tc>
        <w:tc>
          <w:tcPr>
            <w:tcW w:type="dxa" w:w="1656"/>
            <w:vAlign w:val="center"/>
            <w:shd w:fill="F1F5F9"/>
          </w:tcPr>
          <w:p>
            <w:pPr>
              <w:spacing w:after="40" w:before="40"/>
              <w:jc w:val="right"/>
            </w:pPr>
            <w:r/>
            <w:r>
              <w:rPr>
                <w:sz w:val="17"/>
              </w:rPr>
              <w:t>0.798</w:t>
            </w:r>
          </w:p>
        </w:tc>
        <w:tc>
          <w:tcPr>
            <w:tcW w:type="dxa" w:w="1224"/>
            <w:vAlign w:val="center"/>
            <w:shd w:fill="F1F5F9"/>
          </w:tcPr>
          <w:p>
            <w:pPr>
              <w:spacing w:after="40" w:before="40"/>
              <w:jc w:val="right"/>
            </w:pPr>
            <w:r/>
            <w:r>
              <w:rPr>
                <w:sz w:val="17"/>
              </w:rPr>
              <w:t>0.849</w:t>
            </w:r>
          </w:p>
        </w:tc>
      </w:tr>
      <w:tr>
        <w:trPr>
          <w:cantSplit w:val="true"/>
        </w:trPr>
        <w:tc>
          <w:tcPr>
            <w:tcW w:type="dxa" w:w="1440"/>
            <w:vAlign w:val="center"/>
          </w:tcPr>
          <w:p>
            <w:pPr>
              <w:spacing w:after="40" w:before="40"/>
            </w:pPr>
            <w:r/>
            <w:r>
              <w:rPr>
                <w:sz w:val="17"/>
              </w:rPr>
              <w:t>4</w:t>
            </w:r>
          </w:p>
        </w:tc>
        <w:tc>
          <w:tcPr>
            <w:tcW w:type="dxa" w:w="1944"/>
            <w:vAlign w:val="center"/>
          </w:tcPr>
          <w:p>
            <w:pPr>
              <w:spacing w:after="40" w:before="40"/>
            </w:pPr>
            <w:r/>
            <w:r>
              <w:rPr>
                <w:sz w:val="17"/>
              </w:rPr>
              <w:t>5</w:t>
            </w:r>
          </w:p>
        </w:tc>
        <w:tc>
          <w:tcPr>
            <w:tcW w:type="dxa" w:w="1728"/>
            <w:vAlign w:val="center"/>
          </w:tcPr>
          <w:p>
            <w:pPr>
              <w:spacing w:after="40" w:before="40"/>
            </w:pPr>
            <w:r/>
            <w:r>
              <w:rPr>
                <w:sz w:val="17"/>
              </w:rPr>
              <w:t>sqrt</w:t>
            </w:r>
          </w:p>
        </w:tc>
        <w:tc>
          <w:tcPr>
            <w:tcW w:type="dxa" w:w="1656"/>
            <w:vAlign w:val="center"/>
          </w:tcPr>
          <w:p>
            <w:pPr>
              <w:spacing w:after="40" w:before="40"/>
            </w:pPr>
            <w:r/>
            <w:r>
              <w:rPr>
                <w:sz w:val="17"/>
              </w:rPr>
              <w:t>300</w:t>
            </w:r>
          </w:p>
        </w:tc>
        <w:tc>
          <w:tcPr>
            <w:tcW w:type="dxa" w:w="1656"/>
            <w:vAlign w:val="center"/>
          </w:tcPr>
          <w:p>
            <w:pPr>
              <w:spacing w:after="40" w:before="40"/>
              <w:jc w:val="right"/>
            </w:pPr>
            <w:r/>
            <w:r>
              <w:rPr>
                <w:sz w:val="17"/>
              </w:rPr>
              <w:t>0.798</w:t>
            </w:r>
          </w:p>
        </w:tc>
        <w:tc>
          <w:tcPr>
            <w:tcW w:type="dxa" w:w="1224"/>
            <w:vAlign w:val="center"/>
          </w:tcPr>
          <w:p>
            <w:pPr>
              <w:spacing w:after="40" w:before="40"/>
              <w:jc w:val="right"/>
            </w:pPr>
            <w:r/>
            <w:r>
              <w:rPr>
                <w:sz w:val="17"/>
              </w:rPr>
              <w:t>0.847</w:t>
            </w:r>
          </w:p>
        </w:tc>
      </w:tr>
      <w:tr>
        <w:trPr>
          <w:cantSplit w:val="true"/>
        </w:trPr>
        <w:tc>
          <w:tcPr>
            <w:tcW w:type="dxa" w:w="1440"/>
            <w:vAlign w:val="center"/>
            <w:shd w:fill="F1F5F9"/>
          </w:tcPr>
          <w:p>
            <w:pPr>
              <w:spacing w:after="40" w:before="40"/>
            </w:pPr>
            <w:r/>
            <w:r>
              <w:rPr>
                <w:sz w:val="17"/>
              </w:rPr>
              <w:t>6</w:t>
            </w:r>
          </w:p>
        </w:tc>
        <w:tc>
          <w:tcPr>
            <w:tcW w:type="dxa" w:w="1944"/>
            <w:vAlign w:val="center"/>
            <w:shd w:fill="F1F5F9"/>
          </w:tcPr>
          <w:p>
            <w:pPr>
              <w:spacing w:after="40" w:before="40"/>
            </w:pPr>
            <w:r/>
            <w:r>
              <w:rPr>
                <w:sz w:val="17"/>
              </w:rPr>
              <w:t>1</w:t>
            </w:r>
          </w:p>
        </w:tc>
        <w:tc>
          <w:tcPr>
            <w:tcW w:type="dxa" w:w="1728"/>
            <w:vAlign w:val="center"/>
            <w:shd w:fill="F1F5F9"/>
          </w:tcPr>
          <w:p>
            <w:pPr>
              <w:spacing w:after="40" w:before="40"/>
            </w:pPr>
            <w:r/>
            <w:r>
              <w:rPr>
                <w:sz w:val="17"/>
              </w:rPr>
              <w:t>sqrt</w:t>
            </w:r>
          </w:p>
        </w:tc>
        <w:tc>
          <w:tcPr>
            <w:tcW w:type="dxa" w:w="1656"/>
            <w:vAlign w:val="center"/>
            <w:shd w:fill="F1F5F9"/>
          </w:tcPr>
          <w:p>
            <w:pPr>
              <w:spacing w:after="40" w:before="40"/>
            </w:pPr>
            <w:r/>
            <w:r>
              <w:rPr>
                <w:sz w:val="17"/>
              </w:rPr>
              <w:t>150</w:t>
            </w:r>
          </w:p>
        </w:tc>
        <w:tc>
          <w:tcPr>
            <w:tcW w:type="dxa" w:w="1656"/>
            <w:vAlign w:val="center"/>
            <w:shd w:fill="F1F5F9"/>
          </w:tcPr>
          <w:p>
            <w:pPr>
              <w:spacing w:after="40" w:before="40"/>
              <w:jc w:val="right"/>
            </w:pPr>
            <w:r/>
            <w:r>
              <w:rPr>
                <w:sz w:val="17"/>
              </w:rPr>
              <w:t>0.798</w:t>
            </w:r>
          </w:p>
        </w:tc>
        <w:tc>
          <w:tcPr>
            <w:tcW w:type="dxa" w:w="1224"/>
            <w:vAlign w:val="center"/>
            <w:shd w:fill="F1F5F9"/>
          </w:tcPr>
          <w:p>
            <w:pPr>
              <w:spacing w:after="40" w:before="40"/>
              <w:jc w:val="right"/>
            </w:pPr>
            <w:r/>
            <w:r>
              <w:rPr>
                <w:sz w:val="17"/>
              </w:rPr>
              <w:t>0.907</w:t>
            </w:r>
          </w:p>
        </w:tc>
      </w:tr>
    </w:tbl>
    <w:p>
      <w:pPr>
        <w:spacing w:after="40" w:before="0"/>
      </w:pPr>
    </w:p>
    <w:p>
      <w:r>
        <w:rPr>
          <w:i w:val="0"/>
        </w:rPr>
        <w:t>The best combination reaches 0.799 with a training score of 0.919. Across all 32 combinations the CV scores span 0.776 to 0.799 — a range of 0.023, still narrower than one standard deviation of fold noise.</w:t>
      </w:r>
    </w:p>
    <w:p>
      <w:r>
        <w:rPr>
          <w:i w:val="0"/>
        </w:rPr>
        <w:t>The gap between the training score and the CV score is the visible signature of overfitting. The grid earns its keep here by pushing the model toward shallower trees and larger leaves — but it is correcting a defect, not discovering signal.</w:t>
      </w:r>
    </w:p>
    <w:p>
      <w:pPr>
        <w:pStyle w:val="Heading2"/>
      </w:pPr>
      <w:r>
        <w:t>15.3 Did tuning help?</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3312"/>
            <w:vAlign w:val="center"/>
            <w:shd w:fill="17324D"/>
          </w:tcPr>
          <w:p>
            <w:pPr>
              <w:spacing w:after="40" w:before="40"/>
            </w:pPr>
            <w:r/>
            <w:r>
              <w:rPr>
                <w:b/>
                <w:color w:val="FFFFFF"/>
                <w:sz w:val="17"/>
              </w:rPr>
              <w:t>Model</w:t>
            </w:r>
          </w:p>
        </w:tc>
        <w:tc>
          <w:tcPr>
            <w:tcW w:type="dxa" w:w="2016"/>
            <w:vAlign w:val="center"/>
            <w:shd w:fill="17324D"/>
          </w:tcPr>
          <w:p>
            <w:pPr>
              <w:spacing w:after="40" w:before="40"/>
            </w:pPr>
            <w:r/>
            <w:r>
              <w:rPr>
                <w:b/>
                <w:color w:val="FFFFFF"/>
                <w:sz w:val="17"/>
              </w:rPr>
              <w:t>Default CV</w:t>
            </w:r>
          </w:p>
        </w:tc>
        <w:tc>
          <w:tcPr>
            <w:tcW w:type="dxa" w:w="2016"/>
            <w:vAlign w:val="center"/>
            <w:shd w:fill="17324D"/>
          </w:tcPr>
          <w:p>
            <w:pPr>
              <w:spacing w:after="40" w:before="40"/>
            </w:pPr>
            <w:r/>
            <w:r>
              <w:rPr>
                <w:b/>
                <w:color w:val="FFFFFF"/>
                <w:sz w:val="17"/>
              </w:rPr>
              <w:t>Tuned CV</w:t>
            </w:r>
          </w:p>
        </w:tc>
        <w:tc>
          <w:tcPr>
            <w:tcW w:type="dxa" w:w="1584"/>
            <w:vAlign w:val="center"/>
            <w:shd w:fill="17324D"/>
          </w:tcPr>
          <w:p>
            <w:pPr>
              <w:spacing w:after="40" w:before="40"/>
            </w:pPr>
            <w:r/>
            <w:r>
              <w:rPr>
                <w:b/>
                <w:color w:val="FFFFFF"/>
                <w:sz w:val="17"/>
              </w:rPr>
              <w:t>Gain</w:t>
            </w:r>
          </w:p>
        </w:tc>
      </w:tr>
      <w:tr>
        <w:trPr>
          <w:cantSplit w:val="true"/>
        </w:trPr>
        <w:tc>
          <w:tcPr>
            <w:tcW w:type="dxa" w:w="3312"/>
            <w:vAlign w:val="center"/>
          </w:tcPr>
          <w:p>
            <w:pPr>
              <w:spacing w:after="40" w:before="40"/>
            </w:pPr>
            <w:r/>
            <w:r>
              <w:rPr>
                <w:sz w:val="17"/>
              </w:rPr>
              <w:t>Logistic Regression</w:t>
            </w:r>
          </w:p>
        </w:tc>
        <w:tc>
          <w:tcPr>
            <w:tcW w:type="dxa" w:w="2016"/>
            <w:vAlign w:val="center"/>
          </w:tcPr>
          <w:p>
            <w:pPr>
              <w:spacing w:after="40" w:before="40"/>
              <w:jc w:val="right"/>
            </w:pPr>
            <w:r/>
            <w:r>
              <w:rPr>
                <w:sz w:val="17"/>
              </w:rPr>
              <w:t>0.805</w:t>
            </w:r>
          </w:p>
        </w:tc>
        <w:tc>
          <w:tcPr>
            <w:tcW w:type="dxa" w:w="2016"/>
            <w:vAlign w:val="center"/>
          </w:tcPr>
          <w:p>
            <w:pPr>
              <w:spacing w:after="40" w:before="40"/>
              <w:jc w:val="right"/>
            </w:pPr>
            <w:r/>
            <w:r>
              <w:rPr>
                <w:sz w:val="17"/>
              </w:rPr>
              <w:t>0.806</w:t>
            </w:r>
          </w:p>
        </w:tc>
        <w:tc>
          <w:tcPr>
            <w:tcW w:type="dxa" w:w="1584"/>
            <w:vAlign w:val="center"/>
          </w:tcPr>
          <w:p>
            <w:pPr>
              <w:spacing w:after="40" w:before="40"/>
              <w:jc w:val="right"/>
            </w:pPr>
            <w:r/>
            <w:r>
              <w:rPr>
                <w:sz w:val="17"/>
              </w:rPr>
              <w:t>+0.001</w:t>
            </w:r>
          </w:p>
        </w:tc>
      </w:tr>
      <w:tr>
        <w:trPr>
          <w:cantSplit w:val="true"/>
        </w:trPr>
        <w:tc>
          <w:tcPr>
            <w:tcW w:type="dxa" w:w="3312"/>
            <w:vAlign w:val="center"/>
            <w:shd w:fill="F1F5F9"/>
          </w:tcPr>
          <w:p>
            <w:pPr>
              <w:spacing w:after="40" w:before="40"/>
            </w:pPr>
            <w:r/>
            <w:r>
              <w:rPr>
                <w:sz w:val="17"/>
              </w:rPr>
              <w:t>Random Forest</w:t>
            </w:r>
          </w:p>
        </w:tc>
        <w:tc>
          <w:tcPr>
            <w:tcW w:type="dxa" w:w="2016"/>
            <w:vAlign w:val="center"/>
            <w:shd w:fill="F1F5F9"/>
          </w:tcPr>
          <w:p>
            <w:pPr>
              <w:spacing w:after="40" w:before="40"/>
              <w:jc w:val="right"/>
            </w:pPr>
            <w:r/>
            <w:r>
              <w:rPr>
                <w:sz w:val="17"/>
              </w:rPr>
              <w:t>0.779</w:t>
            </w:r>
          </w:p>
        </w:tc>
        <w:tc>
          <w:tcPr>
            <w:tcW w:type="dxa" w:w="2016"/>
            <w:vAlign w:val="center"/>
            <w:shd w:fill="F1F5F9"/>
          </w:tcPr>
          <w:p>
            <w:pPr>
              <w:spacing w:after="40" w:before="40"/>
              <w:jc w:val="right"/>
            </w:pPr>
            <w:r/>
            <w:r>
              <w:rPr>
                <w:sz w:val="17"/>
              </w:rPr>
              <w:t>0.799</w:t>
            </w:r>
          </w:p>
        </w:tc>
        <w:tc>
          <w:tcPr>
            <w:tcW w:type="dxa" w:w="1584"/>
            <w:vAlign w:val="center"/>
            <w:shd w:fill="F1F5F9"/>
          </w:tcPr>
          <w:p>
            <w:pPr>
              <w:spacing w:after="40" w:before="40"/>
              <w:jc w:val="right"/>
            </w:pPr>
            <w:r/>
            <w:r>
              <w:rPr>
                <w:sz w:val="17"/>
              </w:rPr>
              <w:t>+0.020</w:t>
            </w:r>
          </w:p>
        </w:tc>
      </w:tr>
    </w:tbl>
    <w:p>
      <w:pPr>
        <w:spacing w:after="40" w:before="0"/>
      </w:pPr>
    </w:p>
    <w:tbl>
      <w:tblPr>
        <w:tblW w:type="auto" w:w="0"/>
        <w:jc w:val="center"/>
        <w:tblLayout w:type="fixed"/>
        <w:tblLook w:firstColumn="1" w:firstRow="1" w:lastColumn="0" w:lastRow="0" w:noHBand="0" w:noVBand="1" w:val="04A0"/>
      </w:tblPr>
      <w:tblGrid>
        <w:gridCol w:w="9764"/>
      </w:tblGrid>
      <w:tr>
        <w:tc>
          <w:tcPr>
            <w:tcW w:type="dxa" w:w="9432"/>
            <w:shd w:fill="FBF1E3"/>
          </w:tcPr>
          <w:p>
            <w:pPr>
              <w:spacing w:before="120" w:after="40"/>
              <w:jc w:val="left"/>
            </w:pPr>
            <w:r/>
            <w:r>
              <w:rPr>
                <w:b/>
                <w:color w:val="B97A2E"/>
                <w:sz w:val="19"/>
              </w:rPr>
              <w:t>Tuning fixes overfitting; it cannot manufacture signal</w:t>
            </w:r>
          </w:p>
          <w:p>
            <w:pPr>
              <w:spacing w:after="120"/>
              <w:jc w:val="left"/>
            </w:pPr>
            <w:r>
              <w:rPr>
                <w:sz w:val="18"/>
              </w:rPr>
              <w:t>Logistic Regression gained +0.001 across five values of C — nothing. Random Forest gained +0.020, which is real but entirely attributable to constraining an unconstrained default. Neither gain exceeds the fold-level noise, and on a dataset this size with a signal this weak there is very little headroom for a grid search to find.</w:t>
            </w:r>
          </w:p>
        </w:tc>
      </w:tr>
    </w:tbl>
    <w:p>
      <w:pPr>
        <w:spacing w:after="40"/>
      </w:pPr>
    </w:p>
    <w:p>
      <w:pPr>
        <w:pStyle w:val="Heading1"/>
      </w:pPr>
      <w:r>
        <w:t>16. Nested cross-validation and the learning curve</w:t>
      </w:r>
    </w:p>
    <w:p>
      <w:r>
        <w:rPr>
          <w:i w:val="0"/>
        </w:rPr>
        <w:t>The tuned CV score of 0.806 has a subtle problem. The same folds were used both to select the winner and to report its score. With five candidate values there are five chances to get lucky on the same five folds, and the reported maximum of those five is biased upward.</w:t>
      </w:r>
    </w:p>
    <w:p>
      <w:r>
        <w:rPr>
          <w:i w:val="0"/>
        </w:rPr>
        <w:t>Nested cross-validation separates the two loops. An inner loop selects hyperparameters; an outer loop scores the entire procedure — including the selection — on rows the inner loop never saw.</w:t>
      </w: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val="true"/>
        </w:trPr>
        <w:tc>
          <w:tcPr>
            <w:tcW w:type="dxa" w:w="5184"/>
            <w:vAlign w:val="center"/>
            <w:shd w:fill="17324D"/>
          </w:tcPr>
          <w:p>
            <w:pPr>
              <w:spacing w:after="40" w:before="40"/>
            </w:pPr>
            <w:r/>
            <w:r>
              <w:rPr>
                <w:b/>
                <w:color w:val="FFFFFF"/>
                <w:sz w:val="17"/>
              </w:rPr>
              <w:t>Estimate</w:t>
            </w:r>
          </w:p>
        </w:tc>
        <w:tc>
          <w:tcPr>
            <w:tcW w:type="dxa" w:w="3168"/>
            <w:vAlign w:val="center"/>
            <w:shd w:fill="17324D"/>
          </w:tcPr>
          <w:p>
            <w:pPr>
              <w:spacing w:after="40" w:before="40"/>
            </w:pPr>
            <w:r/>
            <w:r>
              <w:rPr>
                <w:b/>
                <w:color w:val="FFFFFF"/>
                <w:sz w:val="17"/>
              </w:rPr>
              <w:t>ROC-AUC</w:t>
            </w:r>
          </w:p>
        </w:tc>
      </w:tr>
      <w:tr>
        <w:trPr>
          <w:cantSplit w:val="true"/>
        </w:trPr>
        <w:tc>
          <w:tcPr>
            <w:tcW w:type="dxa" w:w="5184"/>
            <w:vAlign w:val="center"/>
          </w:tcPr>
          <w:p>
            <w:pPr>
              <w:spacing w:after="40" w:before="40"/>
            </w:pPr>
            <w:r/>
            <w:r>
              <w:rPr>
                <w:sz w:val="17"/>
              </w:rPr>
              <w:t>Tuned CV score (inner loop only)</w:t>
            </w:r>
          </w:p>
        </w:tc>
        <w:tc>
          <w:tcPr>
            <w:tcW w:type="dxa" w:w="3168"/>
            <w:vAlign w:val="center"/>
          </w:tcPr>
          <w:p>
            <w:pPr>
              <w:spacing w:after="40" w:before="40"/>
              <w:jc w:val="right"/>
            </w:pPr>
            <w:r/>
            <w:r>
              <w:rPr>
                <w:sz w:val="17"/>
              </w:rPr>
              <w:t>0.806</w:t>
            </w:r>
          </w:p>
        </w:tc>
      </w:tr>
      <w:tr>
        <w:trPr>
          <w:cantSplit w:val="true"/>
        </w:trPr>
        <w:tc>
          <w:tcPr>
            <w:tcW w:type="dxa" w:w="5184"/>
            <w:vAlign w:val="center"/>
            <w:shd w:fill="F1F5F9"/>
          </w:tcPr>
          <w:p>
            <w:pPr>
              <w:spacing w:after="40" w:before="40"/>
            </w:pPr>
            <w:r/>
            <w:r>
              <w:rPr>
                <w:sz w:val="17"/>
              </w:rPr>
              <w:t>Nested CV estimate (unbiased)</w:t>
            </w:r>
          </w:p>
        </w:tc>
        <w:tc>
          <w:tcPr>
            <w:tcW w:type="dxa" w:w="3168"/>
            <w:vAlign w:val="center"/>
            <w:shd w:fill="F1F5F9"/>
          </w:tcPr>
          <w:p>
            <w:pPr>
              <w:spacing w:after="40" w:before="40"/>
              <w:jc w:val="right"/>
            </w:pPr>
            <w:r/>
            <w:r>
              <w:rPr>
                <w:sz w:val="17"/>
              </w:rPr>
              <w:t>0.805 ± 0.025</w:t>
            </w:r>
          </w:p>
        </w:tc>
      </w:tr>
      <w:tr>
        <w:trPr>
          <w:cantSplit w:val="true"/>
        </w:trPr>
        <w:tc>
          <w:tcPr>
            <w:tcW w:type="dxa" w:w="5184"/>
            <w:vAlign w:val="center"/>
          </w:tcPr>
          <w:p>
            <w:pPr>
              <w:spacing w:after="40" w:before="40"/>
            </w:pPr>
            <w:r/>
            <w:r>
              <w:rPr>
                <w:sz w:val="17"/>
              </w:rPr>
              <w:t>Optimism</w:t>
            </w:r>
          </w:p>
        </w:tc>
        <w:tc>
          <w:tcPr>
            <w:tcW w:type="dxa" w:w="3168"/>
            <w:vAlign w:val="center"/>
          </w:tcPr>
          <w:p>
            <w:pPr>
              <w:spacing w:after="40" w:before="40"/>
              <w:jc w:val="right"/>
            </w:pPr>
            <w:r/>
            <w:r>
              <w:rPr>
                <w:sz w:val="17"/>
              </w:rPr>
              <w:t>+0.001</w:t>
            </w:r>
          </w:p>
        </w:tc>
      </w:tr>
    </w:tbl>
    <w:p>
      <w:pPr>
        <w:spacing w:after="40" w:before="0"/>
      </w:pPr>
    </w:p>
    <w:p>
      <w:pPr>
        <w:spacing w:before="80" w:after="40"/>
        <w:jc w:val="center"/>
      </w:pPr>
      <w:r>
        <w:drawing>
          <wp:inline xmlns:a="http://schemas.openxmlformats.org/drawingml/2006/main" xmlns:pic="http://schemas.openxmlformats.org/drawingml/2006/picture">
            <wp:extent cx="5806440" cy="2050047"/>
            <wp:docPr id="14" name="Picture 14"/>
            <wp:cNvGraphicFramePr>
              <a:graphicFrameLocks noChangeAspect="1"/>
            </wp:cNvGraphicFramePr>
            <a:graphic>
              <a:graphicData uri="http://schemas.openxmlformats.org/drawingml/2006/picture">
                <pic:pic>
                  <pic:nvPicPr>
                    <pic:cNvPr id="0" name="13_learning_curve.png"/>
                    <pic:cNvPicPr/>
                  </pic:nvPicPr>
                  <pic:blipFill>
                    <a:blip r:embed="rId24"/>
                    <a:stretch>
                      <a:fillRect/>
                    </a:stretch>
                  </pic:blipFill>
                  <pic:spPr>
                    <a:xfrm>
                      <a:off x="0" y="0"/>
                      <a:ext cx="5806440" cy="2050047"/>
                    </a:xfrm>
                    <a:prstGeom prst="rect"/>
                  </pic:spPr>
                </pic:pic>
              </a:graphicData>
            </a:graphic>
          </wp:inline>
        </w:drawing>
      </w:r>
    </w:p>
    <w:p>
      <w:pPr>
        <w:spacing w:before="40" w:after="200"/>
        <w:jc w:val="center"/>
      </w:pPr>
      <w:r>
        <w:rPr>
          <w:i/>
          <w:color w:val="7A8794"/>
          <w:sz w:val="16"/>
        </w:rPr>
        <w:t>Figure 14 — Left: training and validation scores converge as data is added. Right: the five outer folds of the nested cross-validation.</w:t>
      </w:r>
    </w:p>
    <w:p>
      <w:r>
        <w:rPr>
          <w:i w:val="0"/>
        </w:rPr>
        <w:t>The optimism is +0.001 — essentially zero. That is reassuring, and it has a specific cause: with a five-value grid containing one effective hyperparameter, there was very little for the search to overfit. A wide grid on a small dataset can produce optimism several times larger, and a tuned score reported on its own would then be misleading.</w:t>
      </w:r>
    </w:p>
    <w:p>
      <w:pPr>
        <w:pStyle w:val="Heading2"/>
      </w:pPr>
      <w:r>
        <w:t>16.1 Is the model overfitting or underfitting?</w:t>
      </w:r>
    </w:p>
    <w:p>
      <w:r>
        <w:rPr>
          <w:i w:val="0"/>
        </w:rPr>
        <w:t>A learning curve trains the same model on progressively more data and plots both the training and validation scores. Three shapes are possible: a persistent gap means variance (overfitting), two low converging scores mean bias (underfitting), and two high converging scores mean the data — not the algorithm — is the limit.</w:t>
      </w:r>
    </w:p>
    <w:tbl>
      <w:tblPr>
        <w:tblStyle w:val="TableGrid"/>
        <w:tblW w:type="auto" w:w="0"/>
        <w:jc w:val="center"/>
        <w:tblLayout w:type="fixed"/>
        <w:tblLook w:firstColumn="1" w:firstRow="1" w:lastColumn="0" w:lastRow="0" w:noHBand="0" w:noVBand="1" w:val="04A0"/>
      </w:tblPr>
      <w:tblGrid>
        <w:gridCol w:w="2441"/>
        <w:gridCol w:w="2441"/>
        <w:gridCol w:w="2441"/>
        <w:gridCol w:w="2441"/>
      </w:tblGrid>
      <w:tr>
        <w:trPr>
          <w:tblHeader w:val="true"/>
          <w:cantSplit w:val="true"/>
        </w:trPr>
        <w:tc>
          <w:tcPr>
            <w:tcW w:type="dxa" w:w="2304"/>
            <w:vAlign w:val="center"/>
            <w:shd w:fill="17324D"/>
          </w:tcPr>
          <w:p>
            <w:pPr>
              <w:spacing w:after="40" w:before="40"/>
            </w:pPr>
            <w:r/>
            <w:r>
              <w:rPr>
                <w:b/>
                <w:color w:val="FFFFFF"/>
                <w:sz w:val="17"/>
              </w:rPr>
              <w:t>Training rows</w:t>
            </w:r>
          </w:p>
        </w:tc>
        <w:tc>
          <w:tcPr>
            <w:tcW w:type="dxa" w:w="2304"/>
            <w:vAlign w:val="center"/>
            <w:shd w:fill="17324D"/>
          </w:tcPr>
          <w:p>
            <w:pPr>
              <w:spacing w:after="40" w:before="40"/>
            </w:pPr>
            <w:r/>
            <w:r>
              <w:rPr>
                <w:b/>
                <w:color w:val="FFFFFF"/>
                <w:sz w:val="17"/>
              </w:rPr>
              <w:t>Train ROC-AUC</w:t>
            </w:r>
          </w:p>
        </w:tc>
        <w:tc>
          <w:tcPr>
            <w:tcW w:type="dxa" w:w="2592"/>
            <w:vAlign w:val="center"/>
            <w:shd w:fill="17324D"/>
          </w:tcPr>
          <w:p>
            <w:pPr>
              <w:spacing w:after="40" w:before="40"/>
            </w:pPr>
            <w:r/>
            <w:r>
              <w:rPr>
                <w:b/>
                <w:color w:val="FFFFFF"/>
                <w:sz w:val="17"/>
              </w:rPr>
              <w:t>Validation ROC-AUC</w:t>
            </w:r>
          </w:p>
        </w:tc>
        <w:tc>
          <w:tcPr>
            <w:tcW w:type="dxa" w:w="1440"/>
            <w:vAlign w:val="center"/>
            <w:shd w:fill="17324D"/>
          </w:tcPr>
          <w:p>
            <w:pPr>
              <w:spacing w:after="40" w:before="40"/>
            </w:pPr>
            <w:r/>
            <w:r>
              <w:rPr>
                <w:b/>
                <w:color w:val="FFFFFF"/>
                <w:sz w:val="17"/>
              </w:rPr>
              <w:t>Gap</w:t>
            </w:r>
          </w:p>
        </w:tc>
      </w:tr>
      <w:tr>
        <w:trPr>
          <w:cantSplit w:val="true"/>
        </w:trPr>
        <w:tc>
          <w:tcPr>
            <w:tcW w:type="dxa" w:w="2304"/>
            <w:vAlign w:val="center"/>
          </w:tcPr>
          <w:p>
            <w:pPr>
              <w:spacing w:after="40" w:before="40"/>
            </w:pPr>
            <w:r/>
            <w:r>
              <w:rPr>
                <w:sz w:val="17"/>
              </w:rPr>
              <w:t>115</w:t>
            </w:r>
          </w:p>
        </w:tc>
        <w:tc>
          <w:tcPr>
            <w:tcW w:type="dxa" w:w="2304"/>
            <w:vAlign w:val="center"/>
          </w:tcPr>
          <w:p>
            <w:pPr>
              <w:spacing w:after="40" w:before="40"/>
              <w:jc w:val="right"/>
            </w:pPr>
            <w:r/>
            <w:r>
              <w:rPr>
                <w:sz w:val="17"/>
              </w:rPr>
              <w:t>0.830</w:t>
            </w:r>
          </w:p>
        </w:tc>
        <w:tc>
          <w:tcPr>
            <w:tcW w:type="dxa" w:w="2592"/>
            <w:vAlign w:val="center"/>
          </w:tcPr>
          <w:p>
            <w:pPr>
              <w:spacing w:after="40" w:before="40"/>
              <w:jc w:val="right"/>
            </w:pPr>
            <w:r/>
            <w:r>
              <w:rPr>
                <w:sz w:val="17"/>
              </w:rPr>
              <w:t>0.748</w:t>
            </w:r>
          </w:p>
        </w:tc>
        <w:tc>
          <w:tcPr>
            <w:tcW w:type="dxa" w:w="1440"/>
            <w:vAlign w:val="center"/>
          </w:tcPr>
          <w:p>
            <w:pPr>
              <w:spacing w:after="40" w:before="40"/>
              <w:jc w:val="right"/>
            </w:pPr>
            <w:r/>
            <w:r>
              <w:rPr>
                <w:sz w:val="17"/>
              </w:rPr>
              <w:t>+0.081</w:t>
            </w:r>
          </w:p>
        </w:tc>
      </w:tr>
      <w:tr>
        <w:trPr>
          <w:cantSplit w:val="true"/>
        </w:trPr>
        <w:tc>
          <w:tcPr>
            <w:tcW w:type="dxa" w:w="2304"/>
            <w:vAlign w:val="center"/>
            <w:shd w:fill="F1F5F9"/>
          </w:tcPr>
          <w:p>
            <w:pPr>
              <w:spacing w:after="40" w:before="40"/>
            </w:pPr>
            <w:r/>
            <w:r>
              <w:rPr>
                <w:sz w:val="17"/>
              </w:rPr>
              <w:t>322</w:t>
            </w:r>
          </w:p>
        </w:tc>
        <w:tc>
          <w:tcPr>
            <w:tcW w:type="dxa" w:w="2304"/>
            <w:vAlign w:val="center"/>
            <w:shd w:fill="F1F5F9"/>
          </w:tcPr>
          <w:p>
            <w:pPr>
              <w:spacing w:after="40" w:before="40"/>
              <w:jc w:val="right"/>
            </w:pPr>
            <w:r/>
            <w:r>
              <w:rPr>
                <w:sz w:val="17"/>
              </w:rPr>
              <w:t>0.828</w:t>
            </w:r>
          </w:p>
        </w:tc>
        <w:tc>
          <w:tcPr>
            <w:tcW w:type="dxa" w:w="2592"/>
            <w:vAlign w:val="center"/>
            <w:shd w:fill="F1F5F9"/>
          </w:tcPr>
          <w:p>
            <w:pPr>
              <w:spacing w:after="40" w:before="40"/>
              <w:jc w:val="right"/>
            </w:pPr>
            <w:r/>
            <w:r>
              <w:rPr>
                <w:sz w:val="17"/>
              </w:rPr>
              <w:t>0.802</w:t>
            </w:r>
          </w:p>
        </w:tc>
        <w:tc>
          <w:tcPr>
            <w:tcW w:type="dxa" w:w="1440"/>
            <w:vAlign w:val="center"/>
            <w:shd w:fill="F1F5F9"/>
          </w:tcPr>
          <w:p>
            <w:pPr>
              <w:spacing w:after="40" w:before="40"/>
              <w:jc w:val="right"/>
            </w:pPr>
            <w:r/>
            <w:r>
              <w:rPr>
                <w:sz w:val="17"/>
              </w:rPr>
              <w:t>+0.027</w:t>
            </w:r>
          </w:p>
        </w:tc>
      </w:tr>
      <w:tr>
        <w:trPr>
          <w:cantSplit w:val="true"/>
        </w:trPr>
        <w:tc>
          <w:tcPr>
            <w:tcW w:type="dxa" w:w="2304"/>
            <w:vAlign w:val="center"/>
          </w:tcPr>
          <w:p>
            <w:pPr>
              <w:spacing w:after="40" w:before="40"/>
            </w:pPr>
            <w:r/>
            <w:r>
              <w:rPr>
                <w:sz w:val="17"/>
              </w:rPr>
              <w:t>529</w:t>
            </w:r>
          </w:p>
        </w:tc>
        <w:tc>
          <w:tcPr>
            <w:tcW w:type="dxa" w:w="2304"/>
            <w:vAlign w:val="center"/>
          </w:tcPr>
          <w:p>
            <w:pPr>
              <w:spacing w:after="40" w:before="40"/>
              <w:jc w:val="right"/>
            </w:pPr>
            <w:r/>
            <w:r>
              <w:rPr>
                <w:sz w:val="17"/>
              </w:rPr>
              <w:t>0.825</w:t>
            </w:r>
          </w:p>
        </w:tc>
        <w:tc>
          <w:tcPr>
            <w:tcW w:type="dxa" w:w="2592"/>
            <w:vAlign w:val="center"/>
          </w:tcPr>
          <w:p>
            <w:pPr>
              <w:spacing w:after="40" w:before="40"/>
              <w:jc w:val="right"/>
            </w:pPr>
            <w:r/>
            <w:r>
              <w:rPr>
                <w:sz w:val="17"/>
              </w:rPr>
              <w:t>0.804</w:t>
            </w:r>
          </w:p>
        </w:tc>
        <w:tc>
          <w:tcPr>
            <w:tcW w:type="dxa" w:w="1440"/>
            <w:vAlign w:val="center"/>
          </w:tcPr>
          <w:p>
            <w:pPr>
              <w:spacing w:after="40" w:before="40"/>
              <w:jc w:val="right"/>
            </w:pPr>
            <w:r/>
            <w:r>
              <w:rPr>
                <w:sz w:val="17"/>
              </w:rPr>
              <w:t>+0.021</w:t>
            </w:r>
          </w:p>
        </w:tc>
      </w:tr>
      <w:tr>
        <w:trPr>
          <w:cantSplit w:val="true"/>
        </w:trPr>
        <w:tc>
          <w:tcPr>
            <w:tcW w:type="dxa" w:w="2304"/>
            <w:vAlign w:val="center"/>
            <w:shd w:fill="F1F5F9"/>
          </w:tcPr>
          <w:p>
            <w:pPr>
              <w:spacing w:after="40" w:before="40"/>
            </w:pPr>
            <w:r/>
            <w:r>
              <w:rPr>
                <w:sz w:val="17"/>
              </w:rPr>
              <w:t>737</w:t>
            </w:r>
          </w:p>
        </w:tc>
        <w:tc>
          <w:tcPr>
            <w:tcW w:type="dxa" w:w="2304"/>
            <w:vAlign w:val="center"/>
            <w:shd w:fill="F1F5F9"/>
          </w:tcPr>
          <w:p>
            <w:pPr>
              <w:spacing w:after="40" w:before="40"/>
              <w:jc w:val="right"/>
            </w:pPr>
            <w:r/>
            <w:r>
              <w:rPr>
                <w:sz w:val="17"/>
              </w:rPr>
              <w:t>0.820</w:t>
            </w:r>
          </w:p>
        </w:tc>
        <w:tc>
          <w:tcPr>
            <w:tcW w:type="dxa" w:w="2592"/>
            <w:vAlign w:val="center"/>
            <w:shd w:fill="F1F5F9"/>
          </w:tcPr>
          <w:p>
            <w:pPr>
              <w:spacing w:after="40" w:before="40"/>
              <w:jc w:val="right"/>
            </w:pPr>
            <w:r/>
            <w:r>
              <w:rPr>
                <w:sz w:val="17"/>
              </w:rPr>
              <w:t>0.807</w:t>
            </w:r>
          </w:p>
        </w:tc>
        <w:tc>
          <w:tcPr>
            <w:tcW w:type="dxa" w:w="1440"/>
            <w:vAlign w:val="center"/>
            <w:shd w:fill="F1F5F9"/>
          </w:tcPr>
          <w:p>
            <w:pPr>
              <w:spacing w:after="40" w:before="40"/>
              <w:jc w:val="right"/>
            </w:pPr>
            <w:r/>
            <w:r>
              <w:rPr>
                <w:sz w:val="17"/>
              </w:rPr>
              <w:t>+0.013</w:t>
            </w:r>
          </w:p>
        </w:tc>
      </w:tr>
      <w:tr>
        <w:trPr>
          <w:cantSplit w:val="true"/>
        </w:trPr>
        <w:tc>
          <w:tcPr>
            <w:tcW w:type="dxa" w:w="2304"/>
            <w:vAlign w:val="center"/>
          </w:tcPr>
          <w:p>
            <w:pPr>
              <w:spacing w:after="40" w:before="40"/>
            </w:pPr>
            <w:r/>
            <w:r>
              <w:rPr>
                <w:sz w:val="17"/>
              </w:rPr>
              <w:t>944</w:t>
            </w:r>
          </w:p>
        </w:tc>
        <w:tc>
          <w:tcPr>
            <w:tcW w:type="dxa" w:w="2304"/>
            <w:vAlign w:val="center"/>
          </w:tcPr>
          <w:p>
            <w:pPr>
              <w:spacing w:after="40" w:before="40"/>
              <w:jc w:val="right"/>
            </w:pPr>
            <w:r/>
            <w:r>
              <w:rPr>
                <w:sz w:val="17"/>
              </w:rPr>
              <w:t>0.822</w:t>
            </w:r>
          </w:p>
        </w:tc>
        <w:tc>
          <w:tcPr>
            <w:tcW w:type="dxa" w:w="2592"/>
            <w:vAlign w:val="center"/>
          </w:tcPr>
          <w:p>
            <w:pPr>
              <w:spacing w:after="40" w:before="40"/>
              <w:jc w:val="right"/>
            </w:pPr>
            <w:r/>
            <w:r>
              <w:rPr>
                <w:sz w:val="17"/>
              </w:rPr>
              <w:t>0.809</w:t>
            </w:r>
          </w:p>
        </w:tc>
        <w:tc>
          <w:tcPr>
            <w:tcW w:type="dxa" w:w="1440"/>
            <w:vAlign w:val="center"/>
          </w:tcPr>
          <w:p>
            <w:pPr>
              <w:spacing w:after="40" w:before="40"/>
              <w:jc w:val="right"/>
            </w:pPr>
            <w:r/>
            <w:r>
              <w:rPr>
                <w:sz w:val="17"/>
              </w:rPr>
              <w:t>+0.013</w:t>
            </w:r>
          </w:p>
        </w:tc>
      </w:tr>
      <w:tr>
        <w:trPr>
          <w:cantSplit w:val="true"/>
        </w:trPr>
        <w:tc>
          <w:tcPr>
            <w:tcW w:type="dxa" w:w="2304"/>
            <w:vAlign w:val="center"/>
            <w:shd w:fill="F1F5F9"/>
          </w:tcPr>
          <w:p>
            <w:pPr>
              <w:spacing w:after="40" w:before="40"/>
            </w:pPr>
            <w:r/>
            <w:r>
              <w:rPr>
                <w:sz w:val="17"/>
              </w:rPr>
              <w:t>1,152</w:t>
            </w:r>
          </w:p>
        </w:tc>
        <w:tc>
          <w:tcPr>
            <w:tcW w:type="dxa" w:w="2304"/>
            <w:vAlign w:val="center"/>
            <w:shd w:fill="F1F5F9"/>
          </w:tcPr>
          <w:p>
            <w:pPr>
              <w:spacing w:after="40" w:before="40"/>
              <w:jc w:val="right"/>
            </w:pPr>
            <w:r/>
            <w:r>
              <w:rPr>
                <w:sz w:val="17"/>
              </w:rPr>
              <w:t>0.817</w:t>
            </w:r>
          </w:p>
        </w:tc>
        <w:tc>
          <w:tcPr>
            <w:tcW w:type="dxa" w:w="2592"/>
            <w:vAlign w:val="center"/>
            <w:shd w:fill="F1F5F9"/>
          </w:tcPr>
          <w:p>
            <w:pPr>
              <w:spacing w:after="40" w:before="40"/>
              <w:jc w:val="right"/>
            </w:pPr>
            <w:r/>
            <w:r>
              <w:rPr>
                <w:sz w:val="17"/>
              </w:rPr>
              <w:t>0.810</w:t>
            </w:r>
          </w:p>
        </w:tc>
        <w:tc>
          <w:tcPr>
            <w:tcW w:type="dxa" w:w="1440"/>
            <w:vAlign w:val="center"/>
            <w:shd w:fill="F1F5F9"/>
          </w:tcPr>
          <w:p>
            <w:pPr>
              <w:spacing w:after="40" w:before="40"/>
              <w:jc w:val="right"/>
            </w:pPr>
            <w:r/>
            <w:r>
              <w:rPr>
                <w:sz w:val="17"/>
              </w:rPr>
              <w:t>+0.007</w:t>
            </w:r>
          </w:p>
        </w:tc>
      </w:tr>
    </w:tbl>
    <w:p>
      <w:pPr>
        <w:spacing w:after="40" w:before="0"/>
      </w:pPr>
    </w:p>
    <w:p>
      <w:r>
        <w:rPr>
          <w:i w:val="0"/>
        </w:rPr>
        <w:t>The gap narrows from 0.081 at 115 rows to 0.007 at the full training split, while the validation score rises steadily. That is the signature of variance, not bias — the model is not memorising, it simply does not have enough examples yet.</w:t>
      </w:r>
    </w:p>
    <w:p>
      <w:r>
        <w:rPr>
          <w:i w:val="0"/>
        </w:rPr>
        <w:t>The practical reading: collecting more data would help a little. Making the model more complex would not help at all, and is likely to hurt.</w:t>
      </w:r>
    </w:p>
    <w:p>
      <w:pPr>
        <w:pStyle w:val="Heading1"/>
      </w:pPr>
      <w:r>
        <w:t>17. Verification and reproducibility</w:t>
      </w:r>
    </w:p>
    <w:p>
      <w:r>
        <w:rPr>
          <w:i w:val="0"/>
        </w:rPr>
        <w:t>The report is generated from the artifacts of a single run rather than typed by hand, so no number in it can drift from the code that produced it. The checks below were run against the final build.</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2952"/>
            <w:vAlign w:val="center"/>
            <w:shd w:fill="17324D"/>
          </w:tcPr>
          <w:p>
            <w:pPr>
              <w:spacing w:after="40" w:before="40"/>
            </w:pPr>
            <w:r/>
            <w:r>
              <w:rPr>
                <w:b/>
                <w:color w:val="FFFFFF"/>
                <w:sz w:val="17"/>
              </w:rPr>
              <w:t>Check</w:t>
            </w:r>
          </w:p>
        </w:tc>
        <w:tc>
          <w:tcPr>
            <w:tcW w:type="dxa" w:w="3528"/>
            <w:vAlign w:val="center"/>
            <w:shd w:fill="17324D"/>
          </w:tcPr>
          <w:p>
            <w:pPr>
              <w:spacing w:after="40" w:before="40"/>
            </w:pPr>
            <w:r/>
            <w:r>
              <w:rPr>
                <w:b/>
                <w:color w:val="FFFFFF"/>
                <w:sz w:val="17"/>
              </w:rPr>
              <w:t>Method</w:t>
            </w:r>
          </w:p>
        </w:tc>
        <w:tc>
          <w:tcPr>
            <w:tcW w:type="dxa" w:w="2952"/>
            <w:vAlign w:val="center"/>
            <w:shd w:fill="17324D"/>
          </w:tcPr>
          <w:p>
            <w:pPr>
              <w:spacing w:after="40" w:before="40"/>
            </w:pPr>
            <w:r/>
            <w:r>
              <w:rPr>
                <w:b/>
                <w:color w:val="FFFFFF"/>
                <w:sz w:val="17"/>
              </w:rPr>
              <w:t>Outcome</w:t>
            </w:r>
          </w:p>
        </w:tc>
      </w:tr>
      <w:tr>
        <w:trPr>
          <w:cantSplit w:val="true"/>
        </w:trPr>
        <w:tc>
          <w:tcPr>
            <w:tcW w:type="dxa" w:w="2952"/>
            <w:vAlign w:val="center"/>
          </w:tcPr>
          <w:p>
            <w:pPr>
              <w:spacing w:after="40" w:before="40"/>
            </w:pPr>
            <w:r/>
            <w:r>
              <w:rPr>
                <w:sz w:val="17"/>
              </w:rPr>
              <w:t>Every metric recomputed by hand</w:t>
            </w:r>
          </w:p>
        </w:tc>
        <w:tc>
          <w:tcPr>
            <w:tcW w:type="dxa" w:w="3528"/>
            <w:vAlign w:val="center"/>
          </w:tcPr>
          <w:p>
            <w:pPr>
              <w:spacing w:after="40" w:before="40"/>
            </w:pPr>
            <w:r/>
            <w:r>
              <w:rPr>
                <w:sz w:val="17"/>
              </w:rPr>
              <w:t>TP 63, FP 83, FN 33, TN 181</w:t>
            </w:r>
          </w:p>
        </w:tc>
        <w:tc>
          <w:tcPr>
            <w:tcW w:type="dxa" w:w="2952"/>
            <w:vAlign w:val="center"/>
          </w:tcPr>
          <w:p>
            <w:pPr>
              <w:spacing w:after="40" w:before="40"/>
            </w:pPr>
            <w:r/>
            <w:r>
              <w:rPr>
                <w:sz w:val="17"/>
              </w:rPr>
              <w:t>matches library values</w:t>
            </w:r>
          </w:p>
        </w:tc>
      </w:tr>
      <w:tr>
        <w:trPr>
          <w:cantSplit w:val="true"/>
        </w:trPr>
        <w:tc>
          <w:tcPr>
            <w:tcW w:type="dxa" w:w="2952"/>
            <w:vAlign w:val="center"/>
            <w:shd w:fill="F1F5F9"/>
          </w:tcPr>
          <w:p>
            <w:pPr>
              <w:spacing w:after="40" w:before="40"/>
            </w:pPr>
            <w:r/>
            <w:r>
              <w:rPr>
                <w:sz w:val="17"/>
              </w:rPr>
              <w:t>Churn label excluded from clustering</w:t>
            </w:r>
          </w:p>
        </w:tc>
        <w:tc>
          <w:tcPr>
            <w:tcW w:type="dxa" w:w="3528"/>
            <w:vAlign w:val="center"/>
            <w:shd w:fill="F1F5F9"/>
          </w:tcPr>
          <w:p>
            <w:pPr>
              <w:spacing w:after="40" w:before="40"/>
            </w:pPr>
            <w:r/>
            <w:r>
              <w:rPr>
                <w:sz w:val="17"/>
              </w:rPr>
              <w:t>K-Means and Ward fitted on features only</w:t>
            </w:r>
          </w:p>
        </w:tc>
        <w:tc>
          <w:tcPr>
            <w:tcW w:type="dxa" w:w="2952"/>
            <w:vAlign w:val="center"/>
            <w:shd w:fill="F1F5F9"/>
          </w:tcPr>
          <w:p>
            <w:pPr>
              <w:spacing w:after="40" w:before="40"/>
            </w:pPr>
            <w:r/>
            <w:r>
              <w:rPr>
                <w:sz w:val="17"/>
              </w:rPr>
              <w:t>ARI computed after the fact</w:t>
            </w:r>
          </w:p>
        </w:tc>
      </w:tr>
      <w:tr>
        <w:trPr>
          <w:cantSplit w:val="true"/>
        </w:trPr>
        <w:tc>
          <w:tcPr>
            <w:tcW w:type="dxa" w:w="2952"/>
            <w:vAlign w:val="center"/>
          </w:tcPr>
          <w:p>
            <w:pPr>
              <w:spacing w:after="40" w:before="40"/>
            </w:pPr>
            <w:r/>
            <w:r>
              <w:rPr>
                <w:sz w:val="17"/>
              </w:rPr>
              <w:t>Degenerate clusters rejected</w:t>
            </w:r>
          </w:p>
        </w:tc>
        <w:tc>
          <w:tcPr>
            <w:tcW w:type="dxa" w:w="3528"/>
            <w:vAlign w:val="center"/>
          </w:tcPr>
          <w:p>
            <w:pPr>
              <w:spacing w:after="40" w:before="40"/>
            </w:pPr>
            <w:r/>
            <w:r>
              <w:rPr>
                <w:sz w:val="17"/>
              </w:rPr>
              <w:t>threshold 2% of records</w:t>
            </w:r>
          </w:p>
        </w:tc>
        <w:tc>
          <w:tcPr>
            <w:tcW w:type="dxa" w:w="2952"/>
            <w:vAlign w:val="center"/>
          </w:tcPr>
          <w:p>
            <w:pPr>
              <w:spacing w:after="40" w:before="40"/>
            </w:pPr>
            <w:r/>
            <w:r>
              <w:rPr>
                <w:sz w:val="17"/>
              </w:rPr>
              <w:t>single and average linkage excluded</w:t>
            </w:r>
          </w:p>
        </w:tc>
      </w:tr>
      <w:tr>
        <w:trPr>
          <w:cantSplit w:val="true"/>
        </w:trPr>
        <w:tc>
          <w:tcPr>
            <w:tcW w:type="dxa" w:w="2952"/>
            <w:vAlign w:val="center"/>
            <w:shd w:fill="F1F5F9"/>
          </w:tcPr>
          <w:p>
            <w:pPr>
              <w:spacing w:after="40" w:before="40"/>
            </w:pPr>
            <w:r/>
            <w:r>
              <w:rPr>
                <w:sz w:val="17"/>
              </w:rPr>
              <w:t>Tuned on training data only</w:t>
            </w:r>
          </w:p>
        </w:tc>
        <w:tc>
          <w:tcPr>
            <w:tcW w:type="dxa" w:w="3528"/>
            <w:vAlign w:val="center"/>
            <w:shd w:fill="F1F5F9"/>
          </w:tcPr>
          <w:p>
            <w:pPr>
              <w:spacing w:after="40" w:before="40"/>
            </w:pPr>
            <w:r/>
            <w:r>
              <w:rPr>
                <w:sz w:val="17"/>
              </w:rPr>
              <w:t>1,440 rows</w:t>
            </w:r>
          </w:p>
        </w:tc>
        <w:tc>
          <w:tcPr>
            <w:tcW w:type="dxa" w:w="2952"/>
            <w:vAlign w:val="center"/>
            <w:shd w:fill="F1F5F9"/>
          </w:tcPr>
          <w:p>
            <w:pPr>
              <w:spacing w:after="40" w:before="40"/>
            </w:pPr>
            <w:r/>
            <w:r>
              <w:rPr>
                <w:sz w:val="17"/>
              </w:rPr>
              <w:t>test split untouched until Section 16</w:t>
            </w:r>
          </w:p>
        </w:tc>
      </w:tr>
      <w:tr>
        <w:trPr>
          <w:cantSplit w:val="true"/>
        </w:trPr>
        <w:tc>
          <w:tcPr>
            <w:tcW w:type="dxa" w:w="2952"/>
            <w:vAlign w:val="center"/>
          </w:tcPr>
          <w:p>
            <w:pPr>
              <w:spacing w:after="40" w:before="40"/>
            </w:pPr>
            <w:r/>
            <w:r>
              <w:rPr>
                <w:sz w:val="17"/>
              </w:rPr>
              <w:t>Nested CV reproduces the tuned score</w:t>
            </w:r>
          </w:p>
        </w:tc>
        <w:tc>
          <w:tcPr>
            <w:tcW w:type="dxa" w:w="3528"/>
            <w:vAlign w:val="center"/>
          </w:tcPr>
          <w:p>
            <w:pPr>
              <w:spacing w:after="40" w:before="40"/>
            </w:pPr>
            <w:r/>
            <w:r>
              <w:rPr>
                <w:sz w:val="17"/>
              </w:rPr>
              <w:t>0.805 vs 0.806</w:t>
            </w:r>
          </w:p>
        </w:tc>
        <w:tc>
          <w:tcPr>
            <w:tcW w:type="dxa" w:w="2952"/>
            <w:vAlign w:val="center"/>
          </w:tcPr>
          <w:p>
            <w:pPr>
              <w:spacing w:after="40" w:before="40"/>
            </w:pPr>
            <w:r/>
            <w:r>
              <w:rPr>
                <w:sz w:val="17"/>
              </w:rPr>
              <w:t>optimism within 0.001</w:t>
            </w:r>
          </w:p>
        </w:tc>
      </w:tr>
      <w:tr>
        <w:trPr>
          <w:cantSplit w:val="true"/>
        </w:trPr>
        <w:tc>
          <w:tcPr>
            <w:tcW w:type="dxa" w:w="2952"/>
            <w:vAlign w:val="center"/>
            <w:shd w:fill="F1F5F9"/>
          </w:tcPr>
          <w:p>
            <w:pPr>
              <w:spacing w:after="40" w:before="40"/>
            </w:pPr>
            <w:r/>
            <w:r>
              <w:rPr>
                <w:sz w:val="17"/>
              </w:rPr>
              <w:t>All figures rebuilt from saved tables</w:t>
            </w:r>
          </w:p>
        </w:tc>
        <w:tc>
          <w:tcPr>
            <w:tcW w:type="dxa" w:w="3528"/>
            <w:vAlign w:val="center"/>
            <w:shd w:fill="F1F5F9"/>
          </w:tcPr>
          <w:p>
            <w:pPr>
              <w:spacing w:after="40" w:before="40"/>
            </w:pPr>
            <w:r/>
            <w:r>
              <w:rPr>
                <w:sz w:val="17"/>
              </w:rPr>
              <w:t>14 figures</w:t>
            </w:r>
          </w:p>
        </w:tc>
        <w:tc>
          <w:tcPr>
            <w:tcW w:type="dxa" w:w="2952"/>
            <w:vAlign w:val="center"/>
            <w:shd w:fill="F1F5F9"/>
          </w:tcPr>
          <w:p>
            <w:pPr>
              <w:spacing w:after="40" w:before="40"/>
            </w:pPr>
            <w:r/>
            <w:r>
              <w:rPr>
                <w:sz w:val="17"/>
              </w:rPr>
              <w:t>no model refitting required</w:t>
            </w:r>
          </w:p>
        </w:tc>
      </w:tr>
      <w:tr>
        <w:trPr>
          <w:cantSplit w:val="true"/>
        </w:trPr>
        <w:tc>
          <w:tcPr>
            <w:tcW w:type="dxa" w:w="2952"/>
            <w:vAlign w:val="center"/>
          </w:tcPr>
          <w:p>
            <w:pPr>
              <w:spacing w:after="40" w:before="40"/>
            </w:pPr>
            <w:r/>
            <w:r>
              <w:rPr>
                <w:sz w:val="17"/>
              </w:rPr>
              <w:t>Random seed</w:t>
            </w:r>
          </w:p>
        </w:tc>
        <w:tc>
          <w:tcPr>
            <w:tcW w:type="dxa" w:w="3528"/>
            <w:vAlign w:val="center"/>
          </w:tcPr>
          <w:p>
            <w:pPr>
              <w:spacing w:after="40" w:before="40"/>
            </w:pPr>
            <w:r/>
            <w:r>
              <w:rPr>
                <w:sz w:val="17"/>
              </w:rPr>
              <w:t>42 throughout</w:t>
            </w:r>
          </w:p>
        </w:tc>
        <w:tc>
          <w:tcPr>
            <w:tcW w:type="dxa" w:w="2952"/>
            <w:vAlign w:val="center"/>
          </w:tcPr>
          <w:p>
            <w:pPr>
              <w:spacing w:after="40" w:before="40"/>
            </w:pPr>
            <w:r/>
            <w:r>
              <w:rPr>
                <w:sz w:val="17"/>
              </w:rPr>
              <w:t>identical results on re-run</w:t>
            </w:r>
          </w:p>
        </w:tc>
      </w:tr>
    </w:tbl>
    <w:p>
      <w:pPr>
        <w:spacing w:after="40" w:before="0"/>
      </w:pPr>
    </w:p>
    <w:p>
      <w:r>
        <w:rPr>
          <w:i w:val="0"/>
        </w:rPr>
        <w:t>Reproducing the whole report requires three commands and about two minutes on a laptop, with no network access:</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python week-3/src/run_analysis.py     # clustering, tuning, all tables</w:t>
            </w:r>
          </w:p>
          <w:p>
            <w:pPr>
              <w:spacing w:after="0" w:before="0" w:line="240" w:lineRule="auto"/>
            </w:pPr>
            <w:r>
              <w:rPr>
                <w:rFonts w:ascii="Consolas" w:hAnsi="Consolas"/>
                <w:color w:val="2B3540"/>
                <w:sz w:val="15"/>
                <w:rFonts w:ascii="Consolas" w:hAnsi="Consolas"/>
              </w:rPr>
              <w:t>python week-3/src/make_figures.py     # the 14 figures</w:t>
            </w:r>
          </w:p>
          <w:p>
            <w:pPr>
              <w:spacing w:after="0" w:before="0" w:line="240" w:lineRule="auto"/>
            </w:pPr>
            <w:r>
              <w:rPr>
                <w:rFonts w:ascii="Consolas" w:hAnsi="Consolas"/>
                <w:color w:val="2B3540"/>
                <w:sz w:val="15"/>
                <w:rFonts w:ascii="Consolas" w:hAnsi="Consolas"/>
              </w:rPr>
              <w:t>python week-3/docs/build_report.py    # this document</w:t>
            </w:r>
          </w:p>
        </w:tc>
      </w:tr>
    </w:tbl>
    <w:p>
      <w:pPr>
        <w:spacing w:after="40"/>
      </w:pPr>
    </w:p>
    <w:p>
      <w:pPr>
        <w:pStyle w:val="Heading1"/>
      </w:pPr>
      <w:r>
        <w:t>18. Limitations</w:t>
      </w:r>
    </w:p>
    <w:p>
      <w:r>
        <w:rPr>
          <w:i w:val="0"/>
        </w:rPr>
        <w:t>The results above are accurate for this dataset and should not be read as properties of customer churn in general.</w:t>
      </w:r>
    </w:p>
    <w:p>
      <w:pPr>
        <w:pStyle w:val="Heading2"/>
      </w:pPr>
      <w:r>
        <w:t>18.1 Data</w:t>
      </w:r>
    </w:p>
    <w:p>
      <w:pPr>
        <w:pStyle w:val="ListBullet"/>
        <w:spacing w:after="60"/>
        <w:ind w:left="403"/>
      </w:pPr>
      <w:r>
        <w:t>The dataset is synthetic. Every pattern in it — including the senior-citizen segment — is a property of the generator, not an observation about real customers.</w:t>
      </w:r>
    </w:p>
    <w:p>
      <w:pPr>
        <w:pStyle w:val="ListBullet"/>
        <w:spacing w:after="60"/>
        <w:ind w:left="403"/>
      </w:pPr>
      <w:r>
        <w:t>There are 1,800 records. On a 360-row test split, an accuracy difference of two percentage points is roughly one standard error of the sampling noise.</w:t>
      </w:r>
    </w:p>
    <w:p>
      <w:pPr>
        <w:pStyle w:val="ListBullet"/>
        <w:spacing w:after="60"/>
        <w:ind w:left="403"/>
      </w:pPr>
      <w:r>
        <w:t>The churn label is imbalanced at 27%. Metrics that ignore the base rate will be misleading, which is a theme of this report rather than a footnote to it.</w:t>
      </w:r>
    </w:p>
    <w:p>
      <w:pPr>
        <w:pStyle w:val="Heading2"/>
      </w:pPr>
      <w:r>
        <w:t>18.2 Clustering</w:t>
      </w:r>
    </w:p>
    <w:p>
      <w:pPr>
        <w:pStyle w:val="ListBullet"/>
        <w:spacing w:after="60"/>
        <w:ind w:left="403"/>
      </w:pPr>
      <w:r>
        <w:t>The best silhouette of 0.162 indicates weak, overlapping clusters. The segmentation is usable for description, not for clean separation.</w:t>
      </w:r>
    </w:p>
    <w:p>
      <w:pPr>
        <w:pStyle w:val="ListBullet"/>
        <w:spacing w:after="60"/>
        <w:ind w:left="403"/>
      </w:pPr>
      <w:r>
        <w:t>k was chosen by judgement after three indices disagreed. A different analyst could defensibly choose k = 2 or k = 5.</w:t>
      </w:r>
    </w:p>
    <w:p>
      <w:pPr>
        <w:pStyle w:val="ListBullet"/>
        <w:spacing w:after="60"/>
        <w:ind w:left="403"/>
      </w:pPr>
      <w:r>
        <w:t>The clusters were validated against churn only because that label happened to exist. In a genuinely unlabelled problem there is no external check available at all.</w:t>
      </w:r>
    </w:p>
    <w:p>
      <w:pPr>
        <w:pStyle w:val="Heading2"/>
      </w:pPr>
      <w:r>
        <w:t>18.3 Modelling</w:t>
      </w:r>
    </w:p>
    <w:p>
      <w:pPr>
        <w:pStyle w:val="ListBullet"/>
        <w:spacing w:after="60"/>
        <w:ind w:left="403"/>
      </w:pPr>
      <w:r>
        <w:t>Hyperparameters were searched over a modest grid. A wider search or a different algorithm family might find more, though the learning curve suggests the ceiling is the data.</w:t>
      </w:r>
    </w:p>
    <w:p>
      <w:pPr>
        <w:pStyle w:val="ListBullet"/>
        <w:spacing w:after="60"/>
        <w:ind w:left="403"/>
      </w:pPr>
      <w:r>
        <w:t>No fairness analysis was performed. Error rates can differ substantially across subgroups, and a model used to allocate retention offers would need one.</w:t>
      </w:r>
    </w:p>
    <w:p>
      <w:pPr>
        <w:pStyle w:val="ListBullet"/>
        <w:spacing w:after="60"/>
        <w:ind w:left="403"/>
      </w:pPr>
      <w:r>
        <w:t>The threshold was left at 0.5 for the reported metrics. Section 13 shows the curve, but a deployment would need a threshold chosen against actual costs.</w:t>
      </w:r>
    </w:p>
    <w:p>
      <w:pPr>
        <w:pStyle w:val="ListBullet"/>
        <w:spacing w:after="60"/>
        <w:ind w:left="403"/>
      </w:pPr>
      <w:r>
        <w:t>Only two algorithms were tuned. The comparison is between those two, not a claim that Logistic Regression is the best available classifier.</w:t>
      </w:r>
    </w:p>
    <w:p>
      <w:pPr>
        <w:pStyle w:val="Heading1"/>
      </w:pPr>
      <w:r>
        <w:t>19. Lessons learned</w:t>
      </w:r>
    </w:p>
    <w:p>
      <w:pPr>
        <w:spacing w:after="20"/>
      </w:pPr>
      <w:r>
        <w:rPr>
          <w:b/>
          <w:color w:val="237A7A"/>
          <w:sz w:val="20"/>
        </w:rPr>
        <w:t>A clustering score without a cluster-size check is not a result</w:t>
      </w:r>
    </w:p>
    <w:p>
      <w:pPr>
        <w:spacing w:after="160"/>
        <w:ind w:left="317"/>
      </w:pPr>
      <w:r>
        <w:rPr>
          <w:sz w:val="19"/>
        </w:rPr>
        <w:t>Single linkage scored 0.294 — the highest in this report — by isolating one customer. The number was real and the clustering was useless. Size, shape and interpretability have to be checked alongside any internal index.</w:t>
      </w:r>
    </w:p>
    <w:p>
      <w:pPr>
        <w:spacing w:after="20"/>
      </w:pPr>
      <w:r>
        <w:rPr>
          <w:b/>
          <w:color w:val="237A7A"/>
          <w:sz w:val="20"/>
        </w:rPr>
        <w:t>Internal indices disagree, and that is information</w:t>
      </w:r>
    </w:p>
    <w:p>
      <w:pPr>
        <w:spacing w:after="160"/>
        <w:ind w:left="317"/>
      </w:pPr>
      <w:r>
        <w:rPr>
          <w:sz w:val="19"/>
        </w:rPr>
        <w:t>Silhouette, Davies-Bouldin and Calinski-Harabasz preferred k = 3, 5 and 2 respectively. There is no formula that resolves the disagreement; what matters is noticing it and stating the reason for the final choice.</w:t>
      </w:r>
    </w:p>
    <w:p>
      <w:pPr>
        <w:spacing w:after="20"/>
      </w:pPr>
      <w:r>
        <w:rPr>
          <w:b/>
          <w:color w:val="237A7A"/>
          <w:sz w:val="20"/>
        </w:rPr>
        <w:t>Reducing dimensions changes the ruler, not the clusters</w:t>
      </w:r>
    </w:p>
    <w:p>
      <w:pPr>
        <w:spacing w:after="160"/>
        <w:ind w:left="317"/>
      </w:pPr>
      <w:r>
        <w:rPr>
          <w:sz w:val="19"/>
        </w:rPr>
        <w:t>Silhouette rose from 0.135 to 0.389 by measuring in two dimensions instead of twenty-one. The labels did not improve at all. Comparisons must be made in a consistent space.</w:t>
      </w:r>
    </w:p>
    <w:p>
      <w:pPr>
        <w:spacing w:after="20"/>
      </w:pPr>
      <w:r>
        <w:rPr>
          <w:b/>
          <w:color w:val="237A7A"/>
          <w:sz w:val="20"/>
        </w:rPr>
        <w:t>Structure is not the same thing as signal</w:t>
      </w:r>
    </w:p>
    <w:p>
      <w:pPr>
        <w:spacing w:after="160"/>
        <w:ind w:left="317"/>
      </w:pPr>
      <w:r>
        <w:rPr>
          <w:sz w:val="19"/>
        </w:rPr>
        <w:t>Two algorithms agreed on the same three segments (ARI 0.732) while neither related to churn (ARI 0.015). Reproducible clusters can be entirely orthogonal to the question being asked.</w:t>
      </w:r>
    </w:p>
    <w:p>
      <w:pPr>
        <w:spacing w:after="20"/>
      </w:pPr>
      <w:r>
        <w:rPr>
          <w:b/>
          <w:color w:val="237A7A"/>
          <w:sz w:val="20"/>
        </w:rPr>
        <w:t>Accuracy is not a metric for an imbalanced problem</w:t>
      </w:r>
    </w:p>
    <w:p>
      <w:pPr>
        <w:spacing w:after="160"/>
        <w:ind w:left="317"/>
      </w:pPr>
      <w:r>
        <w:rPr>
          <w:sz w:val="19"/>
        </w:rPr>
        <w:t>A do-nothing model scores 0.733 against the classifier's 0.678. Reporting accuracy alone would have rejected the only model that catches any churners at all.</w:t>
      </w:r>
    </w:p>
    <w:p>
      <w:pPr>
        <w:spacing w:after="20"/>
      </w:pPr>
      <w:r>
        <w:rPr>
          <w:b/>
          <w:color w:val="237A7A"/>
          <w:sz w:val="20"/>
        </w:rPr>
        <w:t>Tuning fixes overfitting, not absence of signal</w:t>
      </w:r>
    </w:p>
    <w:p>
      <w:pPr>
        <w:spacing w:after="160"/>
        <w:ind w:left="317"/>
      </w:pPr>
      <w:r>
        <w:rPr>
          <w:sz w:val="19"/>
        </w:rPr>
        <w:t>Logistic Regression gained 0.001 from a five-value grid. The Random Forest gained 0.020, all of it from constraining an over-flexible default. Neither gain exceeded the fold-level noise.</w:t>
      </w:r>
    </w:p>
    <w:p>
      <w:pPr>
        <w:spacing w:after="20"/>
      </w:pPr>
      <w:r>
        <w:rPr>
          <w:b/>
          <w:color w:val="237A7A"/>
          <w:sz w:val="20"/>
        </w:rPr>
        <w:t>A tuned CV score is optimistic, and nested CV measures by how much</w:t>
      </w:r>
    </w:p>
    <w:p>
      <w:pPr>
        <w:spacing w:after="160"/>
        <w:ind w:left="317"/>
      </w:pPr>
      <w:r>
        <w:rPr>
          <w:sz w:val="19"/>
        </w:rPr>
        <w:t>The same folds that select a winner also score it. Here the optimism was only 0.001, but the method is what matters — with a wide grid on a small dataset the gap can be far larger.</w:t>
      </w:r>
    </w:p>
    <w:p>
      <w:pPr>
        <w:spacing w:after="20"/>
      </w:pPr>
      <w:r>
        <w:rPr>
          <w:b/>
          <w:color w:val="237A7A"/>
          <w:sz w:val="20"/>
        </w:rPr>
        <w:t>Leave the test set alone until the end</w:t>
      </w:r>
    </w:p>
    <w:p>
      <w:pPr>
        <w:spacing w:after="160"/>
        <w:ind w:left="317"/>
      </w:pPr>
      <w:r>
        <w:rPr>
          <w:sz w:val="19"/>
        </w:rPr>
        <w:t>Everything that involved a choice — scaling, grid search, model family — was decided on the training split. The 360 held-out rows were scored once, in Section 16, and their result was not used to change anything.</w:t>
      </w:r>
    </w:p>
    <w:p>
      <w:pPr>
        <w:pStyle w:val="Heading1"/>
      </w:pPr>
      <w:r>
        <w:t>20. Conclusion</w:t>
      </w:r>
    </w:p>
    <w:p>
      <w:r>
        <w:rPr>
          <w:i w:val="0"/>
        </w:rPr>
        <w:t>Part A produced a segmentation that holds up. K-Means and Ward clustering, using different logic and different merge criteria, converged on the same three customer groups: a long-tenure high-spend segment, a short-tenure low-spend segment, and a senior segment that the algorithms found without being told the column existed. The agreement of 0.732 between the two methods is the strongest evidence in the report that this structure is real rather than an artefact of one algorithm's assumptions.</w:t>
      </w:r>
    </w:p>
    <w:p>
      <w:r>
        <w:rPr>
          <w:i w:val="0"/>
        </w:rPr>
        <w:t>The same analysis also established the limits of that result. The best silhouette of 0.162 is weak, the three internal indices disagreed about k, and the segments carry almost no information about churn. Testing a clustering against a label it never saw is the only way to know that, and it is the check most clustering exercises omit.</w:t>
      </w:r>
    </w:p>
    <w:p>
      <w:r>
        <w:rPr>
          <w:i w:val="0"/>
        </w:rPr>
        <w:t>Part B then modelled the label directly and evaluated it with the full set of tools the brief calls for. The classifier reaches 0.768 ROC-AUC and 0.656 recall on held-out data, which is a real but modest result. It loses to a do-nothing baseline on accuracy and beats it decisively on every metric that looks at the minority class — a distinction that only exists because more than one metric was reported.</w:t>
      </w:r>
    </w:p>
    <w:p>
      <w:r>
        <w:rPr>
          <w:i w:val="0"/>
        </w:rPr>
        <w:t>Hyperparameter tuning was the least productive step, and reporting that plainly is part of doing it properly. A five-value grid moved Logistic Regression by +0.001; nested cross-validation confirmed the tuned score was not inflated (+0.001). The learning curve shows training and validation scores converging, which locates the ceiling in the dataset rather than in the model.</w:t>
      </w:r>
    </w:p>
    <w:tbl>
      <w:tblPr>
        <w:tblW w:type="auto" w:w="0"/>
        <w:jc w:val="center"/>
        <w:tblLayout w:type="fixed"/>
        <w:tblLook w:firstColumn="1" w:firstRow="1" w:lastColumn="0" w:lastRow="0" w:noHBand="0" w:noVBand="1" w:val="04A0"/>
      </w:tblPr>
      <w:tblGrid>
        <w:gridCol w:w="9764"/>
      </w:tblGrid>
      <w:tr>
        <w:tc>
          <w:tcPr>
            <w:tcW w:type="dxa" w:w="9432"/>
            <w:shd w:fill="EAF1F6"/>
          </w:tcPr>
          <w:p>
            <w:pPr>
              <w:spacing w:before="120" w:after="40"/>
              <w:jc w:val="left"/>
            </w:pPr>
            <w:r/>
            <w:r>
              <w:rPr>
                <w:b/>
                <w:color w:val="237A7A"/>
                <w:sz w:val="19"/>
              </w:rPr>
              <w:t>The through-line</w:t>
            </w:r>
          </w:p>
          <w:p>
            <w:pPr>
              <w:spacing w:after="120"/>
              <w:jc w:val="left"/>
            </w:pPr>
            <w:r>
              <w:rPr>
                <w:sz w:val="18"/>
              </w:rPr>
              <w:t>Clustering found real structure that does not predict churn. Supervised learning predicted churn, weakly but measurably. Neither result is impressive on its own, and both are only trustworthy because of the checks around them — the size filter that rejected a flattering score, the consistent space that exposed a fake improvement, the baseline that beat the model, and the nested loop that tested the tuning. That is what a model evaluation report is for.</w:t>
            </w:r>
          </w:p>
        </w:tc>
      </w:tr>
    </w:tbl>
    <w:p>
      <w:pPr>
        <w:spacing w:after="40"/>
      </w:pPr>
    </w:p>
    <w:p>
      <w:r>
        <w:rPr>
          <w:i w:val="0"/>
        </w:rPr>
        <w:t>Week 4 turns to deployment: serialising the fitted pipeline, serving predictions through an API, and monitoring a model after it leaves the notebook.</w:t>
      </w:r>
    </w:p>
    <w:p>
      <w:pPr>
        <w:spacing w:after="0"/>
      </w:pPr>
      <w:r>
        <w:br w:type="page"/>
      </w:r>
    </w:p>
    <w:p>
      <w:pPr>
        <w:pStyle w:val="Heading1"/>
      </w:pPr>
      <w:r>
        <w:t>Appendix A — Reproducing this report</w:t>
      </w:r>
    </w:p>
    <w:p>
      <w:r>
        <w:rPr>
          <w:i w:val="0"/>
        </w:rPr>
        <w:t>The whole deliverable is rebuilt from the repository with three commands. Each stage reads only the artifacts of the previous stage, so figures and the document can be regenerated without rerunning the clustering or the grid search.</w:t>
      </w:r>
    </w:p>
    <w:tbl>
      <w:tblPr>
        <w:tblW w:type="auto" w:w="0"/>
        <w:tblLayout w:type="fixed"/>
        <w:tblLook w:firstColumn="1" w:firstRow="1" w:lastColumn="0" w:lastRow="0" w:noHBand="0" w:noVBand="1" w:val="04A0"/>
      </w:tblPr>
      <w:tblGrid>
        <w:gridCol w:w="9764"/>
      </w:tblGrid>
      <w:tr>
        <w:tc>
          <w:tcPr>
            <w:tcW w:type="dxa" w:w="9432"/>
            <w:shd w:fill="F5F7FA"/>
          </w:tcPr>
          <w:p>
            <w:pPr>
              <w:spacing w:after="0" w:before="0" w:line="240" w:lineRule="auto"/>
            </w:pPr>
            <w:r/>
            <w:r>
              <w:rPr>
                <w:rFonts w:ascii="Consolas" w:hAnsi="Consolas"/>
                <w:color w:val="2B3540"/>
                <w:sz w:val="15"/>
                <w:rFonts w:ascii="Consolas" w:hAnsi="Consolas"/>
              </w:rPr>
              <w:t>cd week-3</w:t>
            </w:r>
          </w:p>
          <w:p>
            <w:pPr>
              <w:spacing w:after="0" w:before="0" w:line="240" w:lineRule="auto"/>
            </w:pPr>
            <w:r>
              <w:rPr>
                <w:rFonts w:ascii="Consolas" w:hAnsi="Consolas"/>
                <w:color w:val="2B3540"/>
                <w:sz w:val="15"/>
                <w:rFonts w:ascii="Consolas" w:hAnsi="Consolas"/>
              </w:rPr>
              <w:t>python -m venv .venv &amp;&amp; source .venv/bin/activate</w:t>
            </w:r>
          </w:p>
          <w:p>
            <w:pPr>
              <w:spacing w:after="0" w:before="0" w:line="240" w:lineRule="auto"/>
            </w:pPr>
            <w:r>
              <w:rPr>
                <w:rFonts w:ascii="Consolas" w:hAnsi="Consolas"/>
                <w:color w:val="2B3540"/>
                <w:sz w:val="15"/>
                <w:rFonts w:ascii="Consolas" w:hAnsi="Consolas"/>
              </w:rPr>
              <w:t>python -m pip install -r requirements.txt</w:t>
            </w:r>
          </w:p>
          <w:p>
            <w:pPr>
              <w:spacing w:after="0" w:before="0" w:line="240" w:lineRule="auto"/>
            </w:pPr>
            <w:r>
              <w:rPr>
                <w:rFonts w:ascii="Consolas" w:hAnsi="Consolas"/>
                <w:color w:val="2B3540"/>
                <w:sz w:val="15"/>
                <w:rFonts w:ascii="Consolas" w:hAnsi="Consolas"/>
              </w:rPr>
              <w:t xml:space="preserve"> </w:t>
            </w:r>
          </w:p>
          <w:p>
            <w:pPr>
              <w:spacing w:after="0" w:before="0" w:line="240" w:lineRule="auto"/>
            </w:pPr>
            <w:r>
              <w:rPr>
                <w:rFonts w:ascii="Consolas" w:hAnsi="Consolas"/>
                <w:color w:val="2B3540"/>
                <w:sz w:val="15"/>
                <w:rFonts w:ascii="Consolas" w:hAnsi="Consolas"/>
              </w:rPr>
              <w:t>python src/run_analysis.py    # clustering + tuning -&gt; outputs/*.csv, week3_summary.json</w:t>
            </w:r>
          </w:p>
          <w:p>
            <w:pPr>
              <w:spacing w:after="0" w:before="0" w:line="240" w:lineRule="auto"/>
            </w:pPr>
            <w:r>
              <w:rPr>
                <w:rFonts w:ascii="Consolas" w:hAnsi="Consolas"/>
                <w:color w:val="2B3540"/>
                <w:sz w:val="15"/>
                <w:rFonts w:ascii="Consolas" w:hAnsi="Consolas"/>
              </w:rPr>
              <w:t>python src/make_figures.py    # -&gt; outputs/figures/*.png</w:t>
            </w:r>
          </w:p>
          <w:p>
            <w:pPr>
              <w:spacing w:after="0" w:before="0" w:line="240" w:lineRule="auto"/>
            </w:pPr>
            <w:r>
              <w:rPr>
                <w:rFonts w:ascii="Consolas" w:hAnsi="Consolas"/>
                <w:color w:val="2B3540"/>
                <w:sz w:val="15"/>
                <w:rFonts w:ascii="Consolas" w:hAnsi="Consolas"/>
              </w:rPr>
              <w:t>python docs/build_report.py   # -&gt; reports/Week_3_..._Report.docx</w:t>
            </w:r>
          </w:p>
        </w:tc>
      </w:tr>
    </w:tbl>
    <w:p>
      <w:pPr>
        <w:spacing w:after="40"/>
      </w:pP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2304"/>
            <w:vAlign w:val="center"/>
            <w:shd w:fill="17324D"/>
          </w:tcPr>
          <w:p>
            <w:pPr>
              <w:spacing w:after="40" w:before="40"/>
            </w:pPr>
            <w:r/>
            <w:r>
              <w:rPr>
                <w:b/>
                <w:color w:val="FFFFFF"/>
                <w:sz w:val="17"/>
              </w:rPr>
              <w:t>Script</w:t>
            </w:r>
          </w:p>
        </w:tc>
        <w:tc>
          <w:tcPr>
            <w:tcW w:type="dxa" w:w="5040"/>
            <w:vAlign w:val="center"/>
            <w:shd w:fill="17324D"/>
          </w:tcPr>
          <w:p>
            <w:pPr>
              <w:spacing w:after="40" w:before="40"/>
            </w:pPr>
            <w:r/>
            <w:r>
              <w:rPr>
                <w:b/>
                <w:color w:val="FFFFFF"/>
                <w:sz w:val="17"/>
              </w:rPr>
              <w:t>Produces</w:t>
            </w:r>
          </w:p>
        </w:tc>
        <w:tc>
          <w:tcPr>
            <w:tcW w:type="dxa" w:w="1296"/>
            <w:vAlign w:val="center"/>
            <w:shd w:fill="17324D"/>
          </w:tcPr>
          <w:p>
            <w:pPr>
              <w:spacing w:after="40" w:before="40"/>
            </w:pPr>
            <w:r/>
            <w:r>
              <w:rPr>
                <w:b/>
                <w:color w:val="FFFFFF"/>
                <w:sz w:val="17"/>
              </w:rPr>
              <w:t>Runtime</w:t>
            </w:r>
          </w:p>
        </w:tc>
      </w:tr>
      <w:tr>
        <w:trPr>
          <w:cantSplit w:val="true"/>
        </w:trPr>
        <w:tc>
          <w:tcPr>
            <w:tcW w:type="dxa" w:w="2304"/>
            <w:vAlign w:val="center"/>
          </w:tcPr>
          <w:p>
            <w:pPr>
              <w:spacing w:after="40" w:before="40"/>
            </w:pPr>
            <w:r/>
            <w:r>
              <w:rPr>
                <w:sz w:val="17"/>
              </w:rPr>
              <w:t>run_analysis.py</w:t>
            </w:r>
          </w:p>
        </w:tc>
        <w:tc>
          <w:tcPr>
            <w:tcW w:type="dxa" w:w="5040"/>
            <w:vAlign w:val="center"/>
          </w:tcPr>
          <w:p>
            <w:pPr>
              <w:spacing w:after="40" w:before="40"/>
            </w:pPr>
            <w:r/>
            <w:r>
              <w:rPr>
                <w:sz w:val="17"/>
              </w:rPr>
              <w:t>Clustering, PCA, tuning, nested CV</w:t>
            </w:r>
          </w:p>
        </w:tc>
        <w:tc>
          <w:tcPr>
            <w:tcW w:type="dxa" w:w="1296"/>
            <w:vAlign w:val="center"/>
          </w:tcPr>
          <w:p>
            <w:pPr>
              <w:spacing w:after="40" w:before="40"/>
              <w:jc w:val="right"/>
            </w:pPr>
            <w:r/>
            <w:r>
              <w:rPr>
                <w:sz w:val="17"/>
              </w:rPr>
              <w:t>~70 s</w:t>
            </w:r>
          </w:p>
        </w:tc>
      </w:tr>
      <w:tr>
        <w:trPr>
          <w:cantSplit w:val="true"/>
        </w:trPr>
        <w:tc>
          <w:tcPr>
            <w:tcW w:type="dxa" w:w="2304"/>
            <w:vAlign w:val="center"/>
            <w:shd w:fill="F1F5F9"/>
          </w:tcPr>
          <w:p>
            <w:pPr>
              <w:spacing w:after="40" w:before="40"/>
            </w:pPr>
            <w:r/>
            <w:r>
              <w:rPr>
                <w:sz w:val="17"/>
              </w:rPr>
              <w:t>make_figures.py</w:t>
            </w:r>
          </w:p>
        </w:tc>
        <w:tc>
          <w:tcPr>
            <w:tcW w:type="dxa" w:w="5040"/>
            <w:vAlign w:val="center"/>
            <w:shd w:fill="F1F5F9"/>
          </w:tcPr>
          <w:p>
            <w:pPr>
              <w:spacing w:after="40" w:before="40"/>
            </w:pPr>
            <w:r/>
            <w:r>
              <w:rPr>
                <w:sz w:val="17"/>
              </w:rPr>
              <w:t>14 figures from saved tables</w:t>
            </w:r>
          </w:p>
        </w:tc>
        <w:tc>
          <w:tcPr>
            <w:tcW w:type="dxa" w:w="1296"/>
            <w:vAlign w:val="center"/>
            <w:shd w:fill="F1F5F9"/>
          </w:tcPr>
          <w:p>
            <w:pPr>
              <w:spacing w:after="40" w:before="40"/>
              <w:jc w:val="right"/>
            </w:pPr>
            <w:r/>
            <w:r>
              <w:rPr>
                <w:sz w:val="17"/>
              </w:rPr>
              <w:t>~6 s</w:t>
            </w:r>
          </w:p>
        </w:tc>
      </w:tr>
      <w:tr>
        <w:trPr>
          <w:cantSplit w:val="true"/>
        </w:trPr>
        <w:tc>
          <w:tcPr>
            <w:tcW w:type="dxa" w:w="2304"/>
            <w:vAlign w:val="center"/>
          </w:tcPr>
          <w:p>
            <w:pPr>
              <w:spacing w:after="40" w:before="40"/>
            </w:pPr>
            <w:r/>
            <w:r>
              <w:rPr>
                <w:sz w:val="17"/>
              </w:rPr>
              <w:t>build_report.py</w:t>
            </w:r>
          </w:p>
        </w:tc>
        <w:tc>
          <w:tcPr>
            <w:tcW w:type="dxa" w:w="5040"/>
            <w:vAlign w:val="center"/>
          </w:tcPr>
          <w:p>
            <w:pPr>
              <w:spacing w:after="40" w:before="40"/>
            </w:pPr>
            <w:r/>
            <w:r>
              <w:rPr>
                <w:sz w:val="17"/>
              </w:rPr>
              <w:t>This document</w:t>
            </w:r>
          </w:p>
        </w:tc>
        <w:tc>
          <w:tcPr>
            <w:tcW w:type="dxa" w:w="1296"/>
            <w:vAlign w:val="center"/>
          </w:tcPr>
          <w:p>
            <w:pPr>
              <w:spacing w:after="40" w:before="40"/>
              <w:jc w:val="right"/>
            </w:pPr>
            <w:r/>
            <w:r>
              <w:rPr>
                <w:sz w:val="17"/>
              </w:rPr>
              <w:t>~1 s</w:t>
            </w:r>
          </w:p>
        </w:tc>
      </w:tr>
    </w:tbl>
    <w:p>
      <w:pPr>
        <w:spacing w:after="40" w:before="0"/>
      </w:pPr>
    </w:p>
    <w:p>
      <w:pPr>
        <w:pStyle w:val="Heading1"/>
      </w:pPr>
      <w:r>
        <w:t>Appendix B — Configuration</w:t>
      </w:r>
    </w:p>
    <w:tbl>
      <w:tblPr>
        <w:tblStyle w:val="TableGrid"/>
        <w:tblW w:type="auto" w:w="0"/>
        <w:jc w:val="center"/>
        <w:tblLayout w:type="fixed"/>
        <w:tblLook w:firstColumn="1" w:firstRow="1" w:lastColumn="0" w:lastRow="0" w:noHBand="0" w:noVBand="1" w:val="04A0"/>
      </w:tblPr>
      <w:tblGrid>
        <w:gridCol w:w="4882"/>
        <w:gridCol w:w="4882"/>
      </w:tblGrid>
      <w:tr>
        <w:trPr>
          <w:tblHeader w:val="true"/>
          <w:cantSplit w:val="true"/>
        </w:trPr>
        <w:tc>
          <w:tcPr>
            <w:tcW w:type="dxa" w:w="3024"/>
            <w:vAlign w:val="center"/>
            <w:shd w:fill="17324D"/>
          </w:tcPr>
          <w:p>
            <w:pPr>
              <w:spacing w:after="40" w:before="40"/>
            </w:pPr>
            <w:r/>
            <w:r>
              <w:rPr>
                <w:b/>
                <w:color w:val="FFFFFF"/>
                <w:sz w:val="17"/>
              </w:rPr>
              <w:t>Setting</w:t>
            </w:r>
          </w:p>
        </w:tc>
        <w:tc>
          <w:tcPr>
            <w:tcW w:type="dxa" w:w="6336"/>
            <w:vAlign w:val="center"/>
            <w:shd w:fill="17324D"/>
          </w:tcPr>
          <w:p>
            <w:pPr>
              <w:spacing w:after="40" w:before="40"/>
            </w:pPr>
            <w:r/>
            <w:r>
              <w:rPr>
                <w:b/>
                <w:color w:val="FFFFFF"/>
                <w:sz w:val="17"/>
              </w:rPr>
              <w:t>Value</w:t>
            </w:r>
          </w:p>
        </w:tc>
      </w:tr>
      <w:tr>
        <w:trPr>
          <w:cantSplit w:val="true"/>
        </w:trPr>
        <w:tc>
          <w:tcPr>
            <w:tcW w:type="dxa" w:w="3024"/>
            <w:vAlign w:val="center"/>
          </w:tcPr>
          <w:p>
            <w:pPr>
              <w:spacing w:after="40" w:before="40"/>
            </w:pPr>
            <w:r/>
            <w:r>
              <w:rPr>
                <w:sz w:val="17"/>
              </w:rPr>
              <w:t>Random seed</w:t>
            </w:r>
          </w:p>
        </w:tc>
        <w:tc>
          <w:tcPr>
            <w:tcW w:type="dxa" w:w="6336"/>
            <w:vAlign w:val="center"/>
          </w:tcPr>
          <w:p>
            <w:pPr>
              <w:spacing w:after="40" w:before="40"/>
            </w:pPr>
            <w:r/>
            <w:r>
              <w:rPr>
                <w:sz w:val="17"/>
              </w:rPr>
              <w:t>42</w:t>
            </w:r>
          </w:p>
        </w:tc>
      </w:tr>
      <w:tr>
        <w:trPr>
          <w:cantSplit w:val="true"/>
        </w:trPr>
        <w:tc>
          <w:tcPr>
            <w:tcW w:type="dxa" w:w="3024"/>
            <w:vAlign w:val="center"/>
            <w:shd w:fill="F1F5F9"/>
          </w:tcPr>
          <w:p>
            <w:pPr>
              <w:spacing w:after="40" w:before="40"/>
            </w:pPr>
            <w:r/>
            <w:r>
              <w:rPr>
                <w:sz w:val="17"/>
              </w:rPr>
              <w:t>Test split</w:t>
            </w:r>
          </w:p>
        </w:tc>
        <w:tc>
          <w:tcPr>
            <w:tcW w:type="dxa" w:w="6336"/>
            <w:vAlign w:val="center"/>
            <w:shd w:fill="F1F5F9"/>
          </w:tcPr>
          <w:p>
            <w:pPr>
              <w:spacing w:after="40" w:before="40"/>
            </w:pPr>
            <w:r/>
            <w:r>
              <w:rPr>
                <w:sz w:val="17"/>
              </w:rPr>
              <w:t>20%, stratified, held out until Section 16</w:t>
            </w:r>
          </w:p>
        </w:tc>
      </w:tr>
      <w:tr>
        <w:trPr>
          <w:cantSplit w:val="true"/>
        </w:trPr>
        <w:tc>
          <w:tcPr>
            <w:tcW w:type="dxa" w:w="3024"/>
            <w:vAlign w:val="center"/>
          </w:tcPr>
          <w:p>
            <w:pPr>
              <w:spacing w:after="40" w:before="40"/>
            </w:pPr>
            <w:r/>
            <w:r>
              <w:rPr>
                <w:sz w:val="17"/>
              </w:rPr>
              <w:t>Cross-validation</w:t>
            </w:r>
          </w:p>
        </w:tc>
        <w:tc>
          <w:tcPr>
            <w:tcW w:type="dxa" w:w="6336"/>
            <w:vAlign w:val="center"/>
          </w:tcPr>
          <w:p>
            <w:pPr>
              <w:spacing w:after="40" w:before="40"/>
            </w:pPr>
            <w:r/>
            <w:r>
              <w:rPr>
                <w:sz w:val="17"/>
              </w:rPr>
              <w:t>5-fold stratified, shuffled</w:t>
            </w:r>
          </w:p>
        </w:tc>
      </w:tr>
      <w:tr>
        <w:trPr>
          <w:cantSplit w:val="true"/>
        </w:trPr>
        <w:tc>
          <w:tcPr>
            <w:tcW w:type="dxa" w:w="3024"/>
            <w:vAlign w:val="center"/>
            <w:shd w:fill="F1F5F9"/>
          </w:tcPr>
          <w:p>
            <w:pPr>
              <w:spacing w:after="40" w:before="40"/>
            </w:pPr>
            <w:r/>
            <w:r>
              <w:rPr>
                <w:sz w:val="17"/>
              </w:rPr>
              <w:t>Inner CV for nested</w:t>
            </w:r>
          </w:p>
        </w:tc>
        <w:tc>
          <w:tcPr>
            <w:tcW w:type="dxa" w:w="6336"/>
            <w:vAlign w:val="center"/>
            <w:shd w:fill="F1F5F9"/>
          </w:tcPr>
          <w:p>
            <w:pPr>
              <w:spacing w:after="40" w:before="40"/>
            </w:pPr>
            <w:r/>
            <w:r>
              <w:rPr>
                <w:sz w:val="17"/>
              </w:rPr>
              <w:t>5-fold stratified</w:t>
            </w:r>
          </w:p>
        </w:tc>
      </w:tr>
      <w:tr>
        <w:trPr>
          <w:cantSplit w:val="true"/>
        </w:trPr>
        <w:tc>
          <w:tcPr>
            <w:tcW w:type="dxa" w:w="3024"/>
            <w:vAlign w:val="center"/>
          </w:tcPr>
          <w:p>
            <w:pPr>
              <w:spacing w:after="40" w:before="40"/>
            </w:pPr>
            <w:r/>
            <w:r>
              <w:rPr>
                <w:sz w:val="17"/>
              </w:rPr>
              <w:t>K-Means</w:t>
            </w:r>
          </w:p>
        </w:tc>
        <w:tc>
          <w:tcPr>
            <w:tcW w:type="dxa" w:w="6336"/>
            <w:vAlign w:val="center"/>
          </w:tcPr>
          <w:p>
            <w:pPr>
              <w:spacing w:after="40" w:before="40"/>
            </w:pPr>
            <w:r/>
            <w:r>
              <w:rPr>
                <w:sz w:val="17"/>
              </w:rPr>
              <w:t>k = 2–8 swept, 3 selected, n_init = 50 for the final fit</w:t>
            </w:r>
          </w:p>
        </w:tc>
      </w:tr>
      <w:tr>
        <w:trPr>
          <w:cantSplit w:val="true"/>
        </w:trPr>
        <w:tc>
          <w:tcPr>
            <w:tcW w:type="dxa" w:w="3024"/>
            <w:vAlign w:val="center"/>
            <w:shd w:fill="F1F5F9"/>
          </w:tcPr>
          <w:p>
            <w:pPr>
              <w:spacing w:after="40" w:before="40"/>
            </w:pPr>
            <w:r/>
            <w:r>
              <w:rPr>
                <w:sz w:val="17"/>
              </w:rPr>
              <w:t>Hierarchical</w:t>
            </w:r>
          </w:p>
        </w:tc>
        <w:tc>
          <w:tcPr>
            <w:tcW w:type="dxa" w:w="6336"/>
            <w:vAlign w:val="center"/>
            <w:shd w:fill="F1F5F9"/>
          </w:tcPr>
          <w:p>
            <w:pPr>
              <w:spacing w:after="40" w:before="40"/>
            </w:pPr>
            <w:r/>
            <w:r>
              <w:rPr>
                <w:sz w:val="17"/>
              </w:rPr>
              <w:t>ward / complete / average / single, k = 2–5</w:t>
            </w:r>
          </w:p>
        </w:tc>
      </w:tr>
      <w:tr>
        <w:trPr>
          <w:cantSplit w:val="true"/>
        </w:trPr>
        <w:tc>
          <w:tcPr>
            <w:tcW w:type="dxa" w:w="3024"/>
            <w:vAlign w:val="center"/>
          </w:tcPr>
          <w:p>
            <w:pPr>
              <w:spacing w:after="40" w:before="40"/>
            </w:pPr>
            <w:r/>
            <w:r>
              <w:rPr>
                <w:sz w:val="17"/>
              </w:rPr>
              <w:t>Degenerate threshold</w:t>
            </w:r>
          </w:p>
        </w:tc>
        <w:tc>
          <w:tcPr>
            <w:tcW w:type="dxa" w:w="6336"/>
            <w:vAlign w:val="center"/>
          </w:tcPr>
          <w:p>
            <w:pPr>
              <w:spacing w:after="40" w:before="40"/>
            </w:pPr>
            <w:r/>
            <w:r>
              <w:rPr>
                <w:sz w:val="17"/>
              </w:rPr>
              <w:t>smallest cluster ≥ 2% of records</w:t>
            </w:r>
          </w:p>
        </w:tc>
      </w:tr>
      <w:tr>
        <w:trPr>
          <w:cantSplit w:val="true"/>
        </w:trPr>
        <w:tc>
          <w:tcPr>
            <w:tcW w:type="dxa" w:w="3024"/>
            <w:vAlign w:val="center"/>
            <w:shd w:fill="F1F5F9"/>
          </w:tcPr>
          <w:p>
            <w:pPr>
              <w:spacing w:after="40" w:before="40"/>
            </w:pPr>
            <w:r/>
            <w:r>
              <w:rPr>
                <w:sz w:val="17"/>
              </w:rPr>
              <w:t>PCA components swept</w:t>
            </w:r>
          </w:p>
        </w:tc>
        <w:tc>
          <w:tcPr>
            <w:tcW w:type="dxa" w:w="6336"/>
            <w:vAlign w:val="center"/>
            <w:shd w:fill="F1F5F9"/>
          </w:tcPr>
          <w:p>
            <w:pPr>
              <w:spacing w:after="40" w:before="40"/>
            </w:pPr>
            <w:r/>
            <w:r>
              <w:rPr>
                <w:sz w:val="17"/>
              </w:rPr>
              <w:t>2, 3, 5, 8, 10, 12, 16, 21</w:t>
            </w:r>
          </w:p>
        </w:tc>
      </w:tr>
      <w:tr>
        <w:trPr>
          <w:cantSplit w:val="true"/>
        </w:trPr>
        <w:tc>
          <w:tcPr>
            <w:tcW w:type="dxa" w:w="3024"/>
            <w:vAlign w:val="center"/>
          </w:tcPr>
          <w:p>
            <w:pPr>
              <w:spacing w:after="40" w:before="40"/>
            </w:pPr>
            <w:r/>
            <w:r>
              <w:rPr>
                <w:sz w:val="17"/>
              </w:rPr>
              <w:t>Logistic grid</w:t>
            </w:r>
          </w:p>
        </w:tc>
        <w:tc>
          <w:tcPr>
            <w:tcW w:type="dxa" w:w="6336"/>
            <w:vAlign w:val="center"/>
          </w:tcPr>
          <w:p>
            <w:pPr>
              <w:spacing w:after="40" w:before="40"/>
            </w:pPr>
            <w:r/>
            <w:r>
              <w:rPr>
                <w:sz w:val="17"/>
              </w:rPr>
              <w:t>C ∈ {0.01, 0.1, 1, 10, 100}, penalty l2</w:t>
            </w:r>
          </w:p>
        </w:tc>
      </w:tr>
      <w:tr>
        <w:trPr>
          <w:cantSplit w:val="true"/>
        </w:trPr>
        <w:tc>
          <w:tcPr>
            <w:tcW w:type="dxa" w:w="3024"/>
            <w:vAlign w:val="center"/>
            <w:shd w:fill="F1F5F9"/>
          </w:tcPr>
          <w:p>
            <w:pPr>
              <w:spacing w:after="40" w:before="40"/>
            </w:pPr>
            <w:r/>
            <w:r>
              <w:rPr>
                <w:sz w:val="17"/>
              </w:rPr>
              <w:t>Forest grid</w:t>
            </w:r>
          </w:p>
        </w:tc>
        <w:tc>
          <w:tcPr>
            <w:tcW w:type="dxa" w:w="6336"/>
            <w:vAlign w:val="center"/>
            <w:shd w:fill="F1F5F9"/>
          </w:tcPr>
          <w:p>
            <w:pPr>
              <w:spacing w:after="40" w:before="40"/>
            </w:pPr>
            <w:r/>
            <w:r>
              <w:rPr>
                <w:sz w:val="17"/>
              </w:rPr>
              <w:t>n_estimators × max_depth × min_samples_leaf × max_features = 32</w:t>
            </w:r>
          </w:p>
        </w:tc>
      </w:tr>
      <w:tr>
        <w:trPr>
          <w:cantSplit w:val="true"/>
        </w:trPr>
        <w:tc>
          <w:tcPr>
            <w:tcW w:type="dxa" w:w="3024"/>
            <w:vAlign w:val="center"/>
          </w:tcPr>
          <w:p>
            <w:pPr>
              <w:spacing w:after="40" w:before="40"/>
            </w:pPr>
            <w:r/>
            <w:r>
              <w:rPr>
                <w:sz w:val="17"/>
              </w:rPr>
              <w:t>Scoring metric</w:t>
            </w:r>
          </w:p>
        </w:tc>
        <w:tc>
          <w:tcPr>
            <w:tcW w:type="dxa" w:w="6336"/>
            <w:vAlign w:val="center"/>
          </w:tcPr>
          <w:p>
            <w:pPr>
              <w:spacing w:after="40" w:before="40"/>
            </w:pPr>
            <w:r/>
            <w:r>
              <w:rPr>
                <w:sz w:val="17"/>
              </w:rPr>
              <w:t>ROC-AUC throughout</w:t>
            </w:r>
          </w:p>
        </w:tc>
      </w:tr>
    </w:tbl>
    <w:p>
      <w:pPr>
        <w:spacing w:after="40" w:before="0"/>
      </w:pPr>
    </w:p>
    <w:p>
      <w:pPr>
        <w:pStyle w:val="Heading1"/>
      </w:pPr>
      <w:r>
        <w:t>Appendix C — Metric glossary</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2160"/>
            <w:vAlign w:val="center"/>
            <w:shd w:fill="17324D"/>
          </w:tcPr>
          <w:p>
            <w:pPr>
              <w:spacing w:after="40" w:before="40"/>
            </w:pPr>
            <w:r/>
            <w:r>
              <w:rPr>
                <w:b/>
                <w:color w:val="FFFFFF"/>
                <w:sz w:val="16"/>
              </w:rPr>
              <w:t>Term</w:t>
            </w:r>
          </w:p>
        </w:tc>
        <w:tc>
          <w:tcPr>
            <w:tcW w:type="dxa" w:w="1224"/>
            <w:vAlign w:val="center"/>
            <w:shd w:fill="17324D"/>
          </w:tcPr>
          <w:p>
            <w:pPr>
              <w:spacing w:after="40" w:before="40"/>
            </w:pPr>
            <w:r/>
            <w:r>
              <w:rPr>
                <w:b/>
                <w:color w:val="FFFFFF"/>
                <w:sz w:val="16"/>
              </w:rPr>
              <w:t>Range</w:t>
            </w:r>
          </w:p>
        </w:tc>
        <w:tc>
          <w:tcPr>
            <w:tcW w:type="dxa" w:w="5976"/>
            <w:vAlign w:val="center"/>
            <w:shd w:fill="17324D"/>
          </w:tcPr>
          <w:p>
            <w:pPr>
              <w:spacing w:after="40" w:before="40"/>
            </w:pPr>
            <w:r/>
            <w:r>
              <w:rPr>
                <w:b/>
                <w:color w:val="FFFFFF"/>
                <w:sz w:val="16"/>
              </w:rPr>
              <w:t>Meaning</w:t>
            </w:r>
          </w:p>
        </w:tc>
      </w:tr>
      <w:tr>
        <w:trPr>
          <w:cantSplit w:val="true"/>
        </w:trPr>
        <w:tc>
          <w:tcPr>
            <w:tcW w:type="dxa" w:w="2160"/>
            <w:vAlign w:val="center"/>
          </w:tcPr>
          <w:p>
            <w:pPr>
              <w:spacing w:after="40" w:before="40"/>
            </w:pPr>
            <w:r/>
            <w:r>
              <w:rPr>
                <w:sz w:val="16"/>
              </w:rPr>
              <w:t>Silhouette</w:t>
            </w:r>
          </w:p>
        </w:tc>
        <w:tc>
          <w:tcPr>
            <w:tcW w:type="dxa" w:w="1224"/>
            <w:vAlign w:val="center"/>
          </w:tcPr>
          <w:p>
            <w:pPr>
              <w:spacing w:after="40" w:before="40"/>
            </w:pPr>
            <w:r/>
            <w:r>
              <w:rPr>
                <w:sz w:val="16"/>
              </w:rPr>
              <w:t>−1…1</w:t>
            </w:r>
          </w:p>
        </w:tc>
        <w:tc>
          <w:tcPr>
            <w:tcW w:type="dxa" w:w="5976"/>
            <w:vAlign w:val="center"/>
          </w:tcPr>
          <w:p>
            <w:pPr>
              <w:spacing w:after="40" w:before="40"/>
            </w:pPr>
            <w:r/>
            <w:r>
              <w:rPr>
                <w:sz w:val="16"/>
              </w:rPr>
              <w:t>How much closer each point is to its own cluster than the nearest rival</w:t>
            </w:r>
          </w:p>
        </w:tc>
      </w:tr>
      <w:tr>
        <w:trPr>
          <w:cantSplit w:val="true"/>
        </w:trPr>
        <w:tc>
          <w:tcPr>
            <w:tcW w:type="dxa" w:w="2160"/>
            <w:vAlign w:val="center"/>
            <w:shd w:fill="F1F5F9"/>
          </w:tcPr>
          <w:p>
            <w:pPr>
              <w:spacing w:after="40" w:before="40"/>
            </w:pPr>
            <w:r/>
            <w:r>
              <w:rPr>
                <w:sz w:val="16"/>
              </w:rPr>
              <w:t>Davies-Bouldin</w:t>
            </w:r>
          </w:p>
        </w:tc>
        <w:tc>
          <w:tcPr>
            <w:tcW w:type="dxa" w:w="1224"/>
            <w:vAlign w:val="center"/>
            <w:shd w:fill="F1F5F9"/>
          </w:tcPr>
          <w:p>
            <w:pPr>
              <w:spacing w:after="40" w:before="40"/>
            </w:pPr>
            <w:r/>
            <w:r>
              <w:rPr>
                <w:sz w:val="16"/>
              </w:rPr>
              <w:t>0…∞</w:t>
            </w:r>
          </w:p>
        </w:tc>
        <w:tc>
          <w:tcPr>
            <w:tcW w:type="dxa" w:w="5976"/>
            <w:vAlign w:val="center"/>
            <w:shd w:fill="F1F5F9"/>
          </w:tcPr>
          <w:p>
            <w:pPr>
              <w:spacing w:after="40" w:before="40"/>
            </w:pPr>
            <w:r/>
            <w:r>
              <w:rPr>
                <w:sz w:val="16"/>
              </w:rPr>
              <w:t>Average within-cluster spread over between-cluster distance; lower is better</w:t>
            </w:r>
          </w:p>
        </w:tc>
      </w:tr>
      <w:tr>
        <w:trPr>
          <w:cantSplit w:val="true"/>
        </w:trPr>
        <w:tc>
          <w:tcPr>
            <w:tcW w:type="dxa" w:w="2160"/>
            <w:vAlign w:val="center"/>
          </w:tcPr>
          <w:p>
            <w:pPr>
              <w:spacing w:after="40" w:before="40"/>
            </w:pPr>
            <w:r/>
            <w:r>
              <w:rPr>
                <w:sz w:val="16"/>
              </w:rPr>
              <w:t>Calinski-Harabasz</w:t>
            </w:r>
          </w:p>
        </w:tc>
        <w:tc>
          <w:tcPr>
            <w:tcW w:type="dxa" w:w="1224"/>
            <w:vAlign w:val="center"/>
          </w:tcPr>
          <w:p>
            <w:pPr>
              <w:spacing w:after="40" w:before="40"/>
            </w:pPr>
            <w:r/>
            <w:r>
              <w:rPr>
                <w:sz w:val="16"/>
              </w:rPr>
              <w:t>0…∞</w:t>
            </w:r>
          </w:p>
        </w:tc>
        <w:tc>
          <w:tcPr>
            <w:tcW w:type="dxa" w:w="5976"/>
            <w:vAlign w:val="center"/>
          </w:tcPr>
          <w:p>
            <w:pPr>
              <w:spacing w:after="40" w:before="40"/>
            </w:pPr>
            <w:r/>
            <w:r>
              <w:rPr>
                <w:sz w:val="16"/>
              </w:rPr>
              <w:t>Ratio of between-cluster to within-cluster dispersion; higher is better</w:t>
            </w:r>
          </w:p>
        </w:tc>
      </w:tr>
      <w:tr>
        <w:trPr>
          <w:cantSplit w:val="true"/>
        </w:trPr>
        <w:tc>
          <w:tcPr>
            <w:tcW w:type="dxa" w:w="2160"/>
            <w:vAlign w:val="center"/>
            <w:shd w:fill="F1F5F9"/>
          </w:tcPr>
          <w:p>
            <w:pPr>
              <w:spacing w:after="40" w:before="40"/>
            </w:pPr>
            <w:r/>
            <w:r>
              <w:rPr>
                <w:sz w:val="16"/>
              </w:rPr>
              <w:t>Adjusted Rand Index</w:t>
            </w:r>
          </w:p>
        </w:tc>
        <w:tc>
          <w:tcPr>
            <w:tcW w:type="dxa" w:w="1224"/>
            <w:vAlign w:val="center"/>
            <w:shd w:fill="F1F5F9"/>
          </w:tcPr>
          <w:p>
            <w:pPr>
              <w:spacing w:after="40" w:before="40"/>
            </w:pPr>
            <w:r/>
            <w:r>
              <w:rPr>
                <w:sz w:val="16"/>
              </w:rPr>
              <w:t>−0.5…1</w:t>
            </w:r>
          </w:p>
        </w:tc>
        <w:tc>
          <w:tcPr>
            <w:tcW w:type="dxa" w:w="5976"/>
            <w:vAlign w:val="center"/>
            <w:shd w:fill="F1F5F9"/>
          </w:tcPr>
          <w:p>
            <w:pPr>
              <w:spacing w:after="40" w:before="40"/>
            </w:pPr>
            <w:r/>
            <w:r>
              <w:rPr>
                <w:sz w:val="16"/>
              </w:rPr>
              <w:t>Agreement between two partitions, corrected for chance</w:t>
            </w:r>
          </w:p>
        </w:tc>
      </w:tr>
      <w:tr>
        <w:trPr>
          <w:cantSplit w:val="true"/>
        </w:trPr>
        <w:tc>
          <w:tcPr>
            <w:tcW w:type="dxa" w:w="2160"/>
            <w:vAlign w:val="center"/>
          </w:tcPr>
          <w:p>
            <w:pPr>
              <w:spacing w:after="40" w:before="40"/>
            </w:pPr>
            <w:r/>
            <w:r>
              <w:rPr>
                <w:sz w:val="16"/>
              </w:rPr>
              <w:t>Inertia</w:t>
            </w:r>
          </w:p>
        </w:tc>
        <w:tc>
          <w:tcPr>
            <w:tcW w:type="dxa" w:w="1224"/>
            <w:vAlign w:val="center"/>
          </w:tcPr>
          <w:p>
            <w:pPr>
              <w:spacing w:after="40" w:before="40"/>
            </w:pPr>
            <w:r/>
            <w:r>
              <w:rPr>
                <w:sz w:val="16"/>
              </w:rPr>
              <w:t>0…∞</w:t>
            </w:r>
          </w:p>
        </w:tc>
        <w:tc>
          <w:tcPr>
            <w:tcW w:type="dxa" w:w="5976"/>
            <w:vAlign w:val="center"/>
          </w:tcPr>
          <w:p>
            <w:pPr>
              <w:spacing w:after="40" w:before="40"/>
            </w:pPr>
            <w:r/>
            <w:r>
              <w:rPr>
                <w:sz w:val="16"/>
              </w:rPr>
              <w:t>Sum of squared distances to each cluster's centroid</w:t>
            </w:r>
          </w:p>
        </w:tc>
      </w:tr>
      <w:tr>
        <w:trPr>
          <w:cantSplit w:val="true"/>
        </w:trPr>
        <w:tc>
          <w:tcPr>
            <w:tcW w:type="dxa" w:w="2160"/>
            <w:vAlign w:val="center"/>
            <w:shd w:fill="F1F5F9"/>
          </w:tcPr>
          <w:p>
            <w:pPr>
              <w:spacing w:after="40" w:before="40"/>
            </w:pPr>
            <w:r/>
            <w:r>
              <w:rPr>
                <w:sz w:val="16"/>
              </w:rPr>
              <w:t>Precision</w:t>
            </w:r>
          </w:p>
        </w:tc>
        <w:tc>
          <w:tcPr>
            <w:tcW w:type="dxa" w:w="1224"/>
            <w:vAlign w:val="center"/>
            <w:shd w:fill="F1F5F9"/>
          </w:tcPr>
          <w:p>
            <w:pPr>
              <w:spacing w:after="40" w:before="40"/>
            </w:pPr>
            <w:r/>
            <w:r>
              <w:rPr>
                <w:sz w:val="16"/>
              </w:rPr>
              <w:t>0…1</w:t>
            </w:r>
          </w:p>
        </w:tc>
        <w:tc>
          <w:tcPr>
            <w:tcW w:type="dxa" w:w="5976"/>
            <w:vAlign w:val="center"/>
            <w:shd w:fill="F1F5F9"/>
          </w:tcPr>
          <w:p>
            <w:pPr>
              <w:spacing w:after="40" w:before="40"/>
            </w:pPr>
            <w:r/>
            <w:r>
              <w:rPr>
                <w:sz w:val="16"/>
              </w:rPr>
              <w:t>Of the positives predicted, the share that were real</w:t>
            </w:r>
          </w:p>
        </w:tc>
      </w:tr>
      <w:tr>
        <w:trPr>
          <w:cantSplit w:val="true"/>
        </w:trPr>
        <w:tc>
          <w:tcPr>
            <w:tcW w:type="dxa" w:w="2160"/>
            <w:vAlign w:val="center"/>
          </w:tcPr>
          <w:p>
            <w:pPr>
              <w:spacing w:after="40" w:before="40"/>
            </w:pPr>
            <w:r/>
            <w:r>
              <w:rPr>
                <w:sz w:val="16"/>
              </w:rPr>
              <w:t>Recall</w:t>
            </w:r>
          </w:p>
        </w:tc>
        <w:tc>
          <w:tcPr>
            <w:tcW w:type="dxa" w:w="1224"/>
            <w:vAlign w:val="center"/>
          </w:tcPr>
          <w:p>
            <w:pPr>
              <w:spacing w:after="40" w:before="40"/>
            </w:pPr>
            <w:r/>
            <w:r>
              <w:rPr>
                <w:sz w:val="16"/>
              </w:rPr>
              <w:t>0…1</w:t>
            </w:r>
          </w:p>
        </w:tc>
        <w:tc>
          <w:tcPr>
            <w:tcW w:type="dxa" w:w="5976"/>
            <w:vAlign w:val="center"/>
          </w:tcPr>
          <w:p>
            <w:pPr>
              <w:spacing w:after="40" w:before="40"/>
            </w:pPr>
            <w:r/>
            <w:r>
              <w:rPr>
                <w:sz w:val="16"/>
              </w:rPr>
              <w:t>Of the real positives, the share that were found</w:t>
            </w:r>
          </w:p>
        </w:tc>
      </w:tr>
      <w:tr>
        <w:trPr>
          <w:cantSplit w:val="true"/>
        </w:trPr>
        <w:tc>
          <w:tcPr>
            <w:tcW w:type="dxa" w:w="2160"/>
            <w:vAlign w:val="center"/>
            <w:shd w:fill="F1F5F9"/>
          </w:tcPr>
          <w:p>
            <w:pPr>
              <w:spacing w:after="40" w:before="40"/>
            </w:pPr>
            <w:r/>
            <w:r>
              <w:rPr>
                <w:sz w:val="16"/>
              </w:rPr>
              <w:t>F1</w:t>
            </w:r>
          </w:p>
        </w:tc>
        <w:tc>
          <w:tcPr>
            <w:tcW w:type="dxa" w:w="1224"/>
            <w:vAlign w:val="center"/>
            <w:shd w:fill="F1F5F9"/>
          </w:tcPr>
          <w:p>
            <w:pPr>
              <w:spacing w:after="40" w:before="40"/>
            </w:pPr>
            <w:r/>
            <w:r>
              <w:rPr>
                <w:sz w:val="16"/>
              </w:rPr>
              <w:t>0…1</w:t>
            </w:r>
          </w:p>
        </w:tc>
        <w:tc>
          <w:tcPr>
            <w:tcW w:type="dxa" w:w="5976"/>
            <w:vAlign w:val="center"/>
            <w:shd w:fill="F1F5F9"/>
          </w:tcPr>
          <w:p>
            <w:pPr>
              <w:spacing w:after="40" w:before="40"/>
            </w:pPr>
            <w:r/>
            <w:r>
              <w:rPr>
                <w:sz w:val="16"/>
              </w:rPr>
              <w:t>Harmonic mean of precision and recall</w:t>
            </w:r>
          </w:p>
        </w:tc>
      </w:tr>
      <w:tr>
        <w:trPr>
          <w:cantSplit w:val="true"/>
        </w:trPr>
        <w:tc>
          <w:tcPr>
            <w:tcW w:type="dxa" w:w="2160"/>
            <w:vAlign w:val="center"/>
          </w:tcPr>
          <w:p>
            <w:pPr>
              <w:spacing w:after="40" w:before="40"/>
            </w:pPr>
            <w:r/>
            <w:r>
              <w:rPr>
                <w:sz w:val="16"/>
              </w:rPr>
              <w:t>Balanced accuracy</w:t>
            </w:r>
          </w:p>
        </w:tc>
        <w:tc>
          <w:tcPr>
            <w:tcW w:type="dxa" w:w="1224"/>
            <w:vAlign w:val="center"/>
          </w:tcPr>
          <w:p>
            <w:pPr>
              <w:spacing w:after="40" w:before="40"/>
            </w:pPr>
            <w:r/>
            <w:r>
              <w:rPr>
                <w:sz w:val="16"/>
              </w:rPr>
              <w:t>0…1</w:t>
            </w:r>
          </w:p>
        </w:tc>
        <w:tc>
          <w:tcPr>
            <w:tcW w:type="dxa" w:w="5976"/>
            <w:vAlign w:val="center"/>
          </w:tcPr>
          <w:p>
            <w:pPr>
              <w:spacing w:after="40" w:before="40"/>
            </w:pPr>
            <w:r/>
            <w:r>
              <w:rPr>
                <w:sz w:val="16"/>
              </w:rPr>
              <w:t>Mean of per-class recall; 0.5 for a do-nothing model</w:t>
            </w:r>
          </w:p>
        </w:tc>
      </w:tr>
      <w:tr>
        <w:trPr>
          <w:cantSplit w:val="true"/>
        </w:trPr>
        <w:tc>
          <w:tcPr>
            <w:tcW w:type="dxa" w:w="2160"/>
            <w:vAlign w:val="center"/>
            <w:shd w:fill="F1F5F9"/>
          </w:tcPr>
          <w:p>
            <w:pPr>
              <w:spacing w:after="40" w:before="40"/>
            </w:pPr>
            <w:r/>
            <w:r>
              <w:rPr>
                <w:sz w:val="16"/>
              </w:rPr>
              <w:t>ROC-AUC</w:t>
            </w:r>
          </w:p>
        </w:tc>
        <w:tc>
          <w:tcPr>
            <w:tcW w:type="dxa" w:w="1224"/>
            <w:vAlign w:val="center"/>
            <w:shd w:fill="F1F5F9"/>
          </w:tcPr>
          <w:p>
            <w:pPr>
              <w:spacing w:after="40" w:before="40"/>
            </w:pPr>
            <w:r/>
            <w:r>
              <w:rPr>
                <w:sz w:val="16"/>
              </w:rPr>
              <w:t>0…1</w:t>
            </w:r>
          </w:p>
        </w:tc>
        <w:tc>
          <w:tcPr>
            <w:tcW w:type="dxa" w:w="5976"/>
            <w:vAlign w:val="center"/>
            <w:shd w:fill="F1F5F9"/>
          </w:tcPr>
          <w:p>
            <w:pPr>
              <w:spacing w:after="40" w:before="40"/>
            </w:pPr>
            <w:r/>
            <w:r>
              <w:rPr>
                <w:sz w:val="16"/>
              </w:rPr>
              <w:t>Probability a random positive outranks a random negative</w:t>
            </w:r>
          </w:p>
        </w:tc>
      </w:tr>
      <w:tr>
        <w:trPr>
          <w:cantSplit w:val="true"/>
        </w:trPr>
        <w:tc>
          <w:tcPr>
            <w:tcW w:type="dxa" w:w="2160"/>
            <w:vAlign w:val="center"/>
          </w:tcPr>
          <w:p>
            <w:pPr>
              <w:spacing w:after="40" w:before="40"/>
            </w:pPr>
            <w:r/>
            <w:r>
              <w:rPr>
                <w:sz w:val="16"/>
              </w:rPr>
              <w:t>PR-AUC</w:t>
            </w:r>
          </w:p>
        </w:tc>
        <w:tc>
          <w:tcPr>
            <w:tcW w:type="dxa" w:w="1224"/>
            <w:vAlign w:val="center"/>
          </w:tcPr>
          <w:p>
            <w:pPr>
              <w:spacing w:after="40" w:before="40"/>
            </w:pPr>
            <w:r/>
            <w:r>
              <w:rPr>
                <w:sz w:val="16"/>
              </w:rPr>
              <w:t>0…1</w:t>
            </w:r>
          </w:p>
        </w:tc>
        <w:tc>
          <w:tcPr>
            <w:tcW w:type="dxa" w:w="5976"/>
            <w:vAlign w:val="center"/>
          </w:tcPr>
          <w:p>
            <w:pPr>
              <w:spacing w:after="40" w:before="40"/>
            </w:pPr>
            <w:r/>
            <w:r>
              <w:rPr>
                <w:sz w:val="16"/>
              </w:rPr>
              <w:t>Area under the precision-recall curve; baseline is the positive rate</w:t>
            </w:r>
          </w:p>
        </w:tc>
      </w:tr>
      <w:tr>
        <w:trPr>
          <w:cantSplit w:val="true"/>
        </w:trPr>
        <w:tc>
          <w:tcPr>
            <w:tcW w:type="dxa" w:w="2160"/>
            <w:vAlign w:val="center"/>
            <w:shd w:fill="F1F5F9"/>
          </w:tcPr>
          <w:p>
            <w:pPr>
              <w:spacing w:after="40" w:before="40"/>
            </w:pPr>
            <w:r/>
            <w:r>
              <w:rPr>
                <w:sz w:val="16"/>
              </w:rPr>
              <w:t>Brier score</w:t>
            </w:r>
          </w:p>
        </w:tc>
        <w:tc>
          <w:tcPr>
            <w:tcW w:type="dxa" w:w="1224"/>
            <w:vAlign w:val="center"/>
            <w:shd w:fill="F1F5F9"/>
          </w:tcPr>
          <w:p>
            <w:pPr>
              <w:spacing w:after="40" w:before="40"/>
            </w:pPr>
            <w:r/>
            <w:r>
              <w:rPr>
                <w:sz w:val="16"/>
              </w:rPr>
              <w:t>0…1</w:t>
            </w:r>
          </w:p>
        </w:tc>
        <w:tc>
          <w:tcPr>
            <w:tcW w:type="dxa" w:w="5976"/>
            <w:vAlign w:val="center"/>
            <w:shd w:fill="F1F5F9"/>
          </w:tcPr>
          <w:p>
            <w:pPr>
              <w:spacing w:after="40" w:before="40"/>
            </w:pPr>
            <w:r/>
            <w:r>
              <w:rPr>
                <w:sz w:val="16"/>
              </w:rPr>
              <w:t>Mean squared error of predicted probabilities</w:t>
            </w:r>
          </w:p>
        </w:tc>
      </w:tr>
    </w:tbl>
    <w:p>
      <w:pPr>
        <w:spacing w:after="40" w:before="0"/>
      </w:pPr>
    </w:p>
    <w:p>
      <w:pPr>
        <w:pStyle w:val="Heading1"/>
      </w:pPr>
      <w:r>
        <w:t>Appendix D — Figure index</w:t>
      </w:r>
    </w:p>
    <w:tbl>
      <w:tblPr>
        <w:tblStyle w:val="TableGrid"/>
        <w:tblW w:type="auto" w:w="0"/>
        <w:jc w:val="center"/>
        <w:tblLayout w:type="fixed"/>
        <w:tblLook w:firstColumn="1" w:firstRow="1" w:lastColumn="0" w:lastRow="0" w:noHBand="0" w:noVBand="1" w:val="04A0"/>
      </w:tblPr>
      <w:tblGrid>
        <w:gridCol w:w="3255"/>
        <w:gridCol w:w="3255"/>
        <w:gridCol w:w="3255"/>
      </w:tblGrid>
      <w:tr>
        <w:trPr>
          <w:tblHeader w:val="true"/>
          <w:cantSplit w:val="true"/>
        </w:trPr>
        <w:tc>
          <w:tcPr>
            <w:tcW w:type="dxa" w:w="648"/>
            <w:vAlign w:val="center"/>
            <w:shd w:fill="17324D"/>
          </w:tcPr>
          <w:p>
            <w:pPr>
              <w:spacing w:after="40" w:before="40"/>
            </w:pPr>
            <w:r/>
            <w:r>
              <w:rPr>
                <w:b/>
                <w:color w:val="FFFFFF"/>
                <w:sz w:val="17"/>
              </w:rPr>
              <w:t>#</w:t>
            </w:r>
          </w:p>
        </w:tc>
        <w:tc>
          <w:tcPr>
            <w:tcW w:type="dxa" w:w="3960"/>
            <w:vAlign w:val="center"/>
            <w:shd w:fill="17324D"/>
          </w:tcPr>
          <w:p>
            <w:pPr>
              <w:spacing w:after="40" w:before="40"/>
            </w:pPr>
            <w:r/>
            <w:r>
              <w:rPr>
                <w:b/>
                <w:color w:val="FFFFFF"/>
                <w:sz w:val="17"/>
              </w:rPr>
              <w:t>File</w:t>
            </w:r>
          </w:p>
        </w:tc>
        <w:tc>
          <w:tcPr>
            <w:tcW w:type="dxa" w:w="4752"/>
            <w:vAlign w:val="center"/>
            <w:shd w:fill="17324D"/>
          </w:tcPr>
          <w:p>
            <w:pPr>
              <w:spacing w:after="40" w:before="40"/>
            </w:pPr>
            <w:r/>
            <w:r>
              <w:rPr>
                <w:b/>
                <w:color w:val="FFFFFF"/>
                <w:sz w:val="17"/>
              </w:rPr>
              <w:t>Content</w:t>
            </w:r>
          </w:p>
        </w:tc>
      </w:tr>
      <w:tr>
        <w:trPr>
          <w:cantSplit w:val="true"/>
        </w:trPr>
        <w:tc>
          <w:tcPr>
            <w:tcW w:type="dxa" w:w="648"/>
            <w:vAlign w:val="center"/>
          </w:tcPr>
          <w:p>
            <w:pPr>
              <w:spacing w:after="40" w:before="40"/>
            </w:pPr>
            <w:r/>
            <w:r>
              <w:rPr>
                <w:sz w:val="17"/>
              </w:rPr>
              <w:t>1</w:t>
            </w:r>
          </w:p>
        </w:tc>
        <w:tc>
          <w:tcPr>
            <w:tcW w:type="dxa" w:w="3960"/>
            <w:vAlign w:val="center"/>
          </w:tcPr>
          <w:p>
            <w:pPr>
              <w:spacing w:after="40" w:before="40"/>
            </w:pPr>
            <w:r/>
            <w:r>
              <w:rPr>
                <w:sz w:val="17"/>
              </w:rPr>
              <w:t>00_workflow_overview.png</w:t>
            </w:r>
          </w:p>
        </w:tc>
        <w:tc>
          <w:tcPr>
            <w:tcW w:type="dxa" w:w="4752"/>
            <w:vAlign w:val="center"/>
          </w:tcPr>
          <w:p>
            <w:pPr>
              <w:spacing w:after="40" w:before="40"/>
            </w:pPr>
            <w:r/>
            <w:r>
              <w:rPr>
                <w:sz w:val="17"/>
              </w:rPr>
              <w:t>The two halves of the work</w:t>
            </w:r>
          </w:p>
        </w:tc>
      </w:tr>
      <w:tr>
        <w:trPr>
          <w:cantSplit w:val="true"/>
        </w:trPr>
        <w:tc>
          <w:tcPr>
            <w:tcW w:type="dxa" w:w="648"/>
            <w:vAlign w:val="center"/>
            <w:shd w:fill="F1F5F9"/>
          </w:tcPr>
          <w:p>
            <w:pPr>
              <w:spacing w:after="40" w:before="40"/>
            </w:pPr>
            <w:r/>
            <w:r>
              <w:rPr>
                <w:sz w:val="17"/>
              </w:rPr>
              <w:t>2</w:t>
            </w:r>
          </w:p>
        </w:tc>
        <w:tc>
          <w:tcPr>
            <w:tcW w:type="dxa" w:w="3960"/>
            <w:vAlign w:val="center"/>
            <w:shd w:fill="F1F5F9"/>
          </w:tcPr>
          <w:p>
            <w:pPr>
              <w:spacing w:after="40" w:before="40"/>
            </w:pPr>
            <w:r/>
            <w:r>
              <w:rPr>
                <w:sz w:val="17"/>
              </w:rPr>
              <w:t>01_pca_variance.png</w:t>
            </w:r>
          </w:p>
        </w:tc>
        <w:tc>
          <w:tcPr>
            <w:tcW w:type="dxa" w:w="4752"/>
            <w:vAlign w:val="center"/>
            <w:shd w:fill="F1F5F9"/>
          </w:tcPr>
          <w:p>
            <w:pPr>
              <w:spacing w:after="40" w:before="40"/>
            </w:pPr>
            <w:r/>
            <w:r>
              <w:rPr>
                <w:sz w:val="17"/>
              </w:rPr>
              <w:t>Scree and cumulative variance</w:t>
            </w:r>
          </w:p>
        </w:tc>
      </w:tr>
      <w:tr>
        <w:trPr>
          <w:cantSplit w:val="true"/>
        </w:trPr>
        <w:tc>
          <w:tcPr>
            <w:tcW w:type="dxa" w:w="648"/>
            <w:vAlign w:val="center"/>
          </w:tcPr>
          <w:p>
            <w:pPr>
              <w:spacing w:after="40" w:before="40"/>
            </w:pPr>
            <w:r/>
            <w:r>
              <w:rPr>
                <w:sz w:val="17"/>
              </w:rPr>
              <w:t>3</w:t>
            </w:r>
          </w:p>
        </w:tc>
        <w:tc>
          <w:tcPr>
            <w:tcW w:type="dxa" w:w="3960"/>
            <w:vAlign w:val="center"/>
          </w:tcPr>
          <w:p>
            <w:pPr>
              <w:spacing w:after="40" w:before="40"/>
            </w:pPr>
            <w:r/>
            <w:r>
              <w:rPr>
                <w:sz w:val="17"/>
              </w:rPr>
              <w:t>02_pca_projection.png</w:t>
            </w:r>
          </w:p>
        </w:tc>
        <w:tc>
          <w:tcPr>
            <w:tcW w:type="dxa" w:w="4752"/>
            <w:vAlign w:val="center"/>
          </w:tcPr>
          <w:p>
            <w:pPr>
              <w:spacing w:after="40" w:before="40"/>
            </w:pPr>
            <w:r/>
            <w:r>
              <w:rPr>
                <w:sz w:val="17"/>
              </w:rPr>
              <w:t>2-D projection by cluster and by churn</w:t>
            </w:r>
          </w:p>
        </w:tc>
      </w:tr>
      <w:tr>
        <w:trPr>
          <w:cantSplit w:val="true"/>
        </w:trPr>
        <w:tc>
          <w:tcPr>
            <w:tcW w:type="dxa" w:w="648"/>
            <w:vAlign w:val="center"/>
            <w:shd w:fill="F1F5F9"/>
          </w:tcPr>
          <w:p>
            <w:pPr>
              <w:spacing w:after="40" w:before="40"/>
            </w:pPr>
            <w:r/>
            <w:r>
              <w:rPr>
                <w:sz w:val="17"/>
              </w:rPr>
              <w:t>4</w:t>
            </w:r>
          </w:p>
        </w:tc>
        <w:tc>
          <w:tcPr>
            <w:tcW w:type="dxa" w:w="3960"/>
            <w:vAlign w:val="center"/>
            <w:shd w:fill="F1F5F9"/>
          </w:tcPr>
          <w:p>
            <w:pPr>
              <w:spacing w:after="40" w:before="40"/>
            </w:pPr>
            <w:r/>
            <w:r>
              <w:rPr>
                <w:sz w:val="17"/>
              </w:rPr>
              <w:t>03_kmeans_selection.png</w:t>
            </w:r>
          </w:p>
        </w:tc>
        <w:tc>
          <w:tcPr>
            <w:tcW w:type="dxa" w:w="4752"/>
            <w:vAlign w:val="center"/>
            <w:shd w:fill="F1F5F9"/>
          </w:tcPr>
          <w:p>
            <w:pPr>
              <w:spacing w:after="40" w:before="40"/>
            </w:pPr>
            <w:r/>
            <w:r>
              <w:rPr>
                <w:sz w:val="17"/>
              </w:rPr>
              <w:t>Elbow and internal indices</w:t>
            </w:r>
          </w:p>
        </w:tc>
      </w:tr>
      <w:tr>
        <w:trPr>
          <w:cantSplit w:val="true"/>
        </w:trPr>
        <w:tc>
          <w:tcPr>
            <w:tcW w:type="dxa" w:w="648"/>
            <w:vAlign w:val="center"/>
          </w:tcPr>
          <w:p>
            <w:pPr>
              <w:spacing w:after="40" w:before="40"/>
            </w:pPr>
            <w:r/>
            <w:r>
              <w:rPr>
                <w:sz w:val="17"/>
              </w:rPr>
              <w:t>5</w:t>
            </w:r>
          </w:p>
        </w:tc>
        <w:tc>
          <w:tcPr>
            <w:tcW w:type="dxa" w:w="3960"/>
            <w:vAlign w:val="center"/>
          </w:tcPr>
          <w:p>
            <w:pPr>
              <w:spacing w:after="40" w:before="40"/>
            </w:pPr>
            <w:r/>
            <w:r>
              <w:rPr>
                <w:sz w:val="17"/>
              </w:rPr>
              <w:t>04_cluster_overview.png</w:t>
            </w:r>
          </w:p>
        </w:tc>
        <w:tc>
          <w:tcPr>
            <w:tcW w:type="dxa" w:w="4752"/>
            <w:vAlign w:val="center"/>
          </w:tcPr>
          <w:p>
            <w:pPr>
              <w:spacing w:after="40" w:before="40"/>
            </w:pPr>
            <w:r/>
            <w:r>
              <w:rPr>
                <w:sz w:val="17"/>
              </w:rPr>
              <w:t>Cluster sizes and churn rate per segment</w:t>
            </w:r>
          </w:p>
        </w:tc>
      </w:tr>
      <w:tr>
        <w:trPr>
          <w:cantSplit w:val="true"/>
        </w:trPr>
        <w:tc>
          <w:tcPr>
            <w:tcW w:type="dxa" w:w="648"/>
            <w:vAlign w:val="center"/>
            <w:shd w:fill="F1F5F9"/>
          </w:tcPr>
          <w:p>
            <w:pPr>
              <w:spacing w:after="40" w:before="40"/>
            </w:pPr>
            <w:r/>
            <w:r>
              <w:rPr>
                <w:sz w:val="17"/>
              </w:rPr>
              <w:t>6</w:t>
            </w:r>
          </w:p>
        </w:tc>
        <w:tc>
          <w:tcPr>
            <w:tcW w:type="dxa" w:w="3960"/>
            <w:vAlign w:val="center"/>
            <w:shd w:fill="F1F5F9"/>
          </w:tcPr>
          <w:p>
            <w:pPr>
              <w:spacing w:after="40" w:before="40"/>
            </w:pPr>
            <w:r/>
            <w:r>
              <w:rPr>
                <w:sz w:val="17"/>
              </w:rPr>
              <w:t>07_cluster_profiles.png</w:t>
            </w:r>
          </w:p>
        </w:tc>
        <w:tc>
          <w:tcPr>
            <w:tcW w:type="dxa" w:w="4752"/>
            <w:vAlign w:val="center"/>
            <w:shd w:fill="F1F5F9"/>
          </w:tcPr>
          <w:p>
            <w:pPr>
              <w:spacing w:after="40" w:before="40"/>
            </w:pPr>
            <w:r/>
            <w:r>
              <w:rPr>
                <w:sz w:val="17"/>
              </w:rPr>
              <w:t>Cluster profiles, K-Means and Ward</w:t>
            </w:r>
          </w:p>
        </w:tc>
      </w:tr>
      <w:tr>
        <w:trPr>
          <w:cantSplit w:val="true"/>
        </w:trPr>
        <w:tc>
          <w:tcPr>
            <w:tcW w:type="dxa" w:w="648"/>
            <w:vAlign w:val="center"/>
          </w:tcPr>
          <w:p>
            <w:pPr>
              <w:spacing w:after="40" w:before="40"/>
            </w:pPr>
            <w:r/>
            <w:r>
              <w:rPr>
                <w:sz w:val="17"/>
              </w:rPr>
              <w:t>7</w:t>
            </w:r>
          </w:p>
        </w:tc>
        <w:tc>
          <w:tcPr>
            <w:tcW w:type="dxa" w:w="3960"/>
            <w:vAlign w:val="center"/>
          </w:tcPr>
          <w:p>
            <w:pPr>
              <w:spacing w:after="40" w:before="40"/>
            </w:pPr>
            <w:r/>
            <w:r>
              <w:rPr>
                <w:sz w:val="17"/>
              </w:rPr>
              <w:t>06_linkage_trap.png</w:t>
            </w:r>
          </w:p>
        </w:tc>
        <w:tc>
          <w:tcPr>
            <w:tcW w:type="dxa" w:w="4752"/>
            <w:vAlign w:val="center"/>
          </w:tcPr>
          <w:p>
            <w:pPr>
              <w:spacing w:after="40" w:before="40"/>
            </w:pPr>
            <w:r/>
            <w:r>
              <w:rPr>
                <w:sz w:val="17"/>
              </w:rPr>
              <w:t>Silhouette against cluster size</w:t>
            </w:r>
          </w:p>
        </w:tc>
      </w:tr>
      <w:tr>
        <w:trPr>
          <w:cantSplit w:val="true"/>
        </w:trPr>
        <w:tc>
          <w:tcPr>
            <w:tcW w:type="dxa" w:w="648"/>
            <w:vAlign w:val="center"/>
            <w:shd w:fill="F1F5F9"/>
          </w:tcPr>
          <w:p>
            <w:pPr>
              <w:spacing w:after="40" w:before="40"/>
            </w:pPr>
            <w:r/>
            <w:r>
              <w:rPr>
                <w:sz w:val="17"/>
              </w:rPr>
              <w:t>8</w:t>
            </w:r>
          </w:p>
        </w:tc>
        <w:tc>
          <w:tcPr>
            <w:tcW w:type="dxa" w:w="3960"/>
            <w:vAlign w:val="center"/>
            <w:shd w:fill="F1F5F9"/>
          </w:tcPr>
          <w:p>
            <w:pPr>
              <w:spacing w:after="40" w:before="40"/>
            </w:pPr>
            <w:r/>
            <w:r>
              <w:rPr>
                <w:sz w:val="17"/>
              </w:rPr>
              <w:t>05_dendrogram.png</w:t>
            </w:r>
          </w:p>
        </w:tc>
        <w:tc>
          <w:tcPr>
            <w:tcW w:type="dxa" w:w="4752"/>
            <w:vAlign w:val="center"/>
            <w:shd w:fill="F1F5F9"/>
          </w:tcPr>
          <w:p>
            <w:pPr>
              <w:spacing w:after="40" w:before="40"/>
            </w:pPr>
            <w:r/>
            <w:r>
              <w:rPr>
                <w:sz w:val="17"/>
              </w:rPr>
              <w:t>Ward dendrogram</w:t>
            </w:r>
          </w:p>
        </w:tc>
      </w:tr>
      <w:tr>
        <w:trPr>
          <w:cantSplit w:val="true"/>
        </w:trPr>
        <w:tc>
          <w:tcPr>
            <w:tcW w:type="dxa" w:w="648"/>
            <w:vAlign w:val="center"/>
          </w:tcPr>
          <w:p>
            <w:pPr>
              <w:spacing w:after="40" w:before="40"/>
            </w:pPr>
            <w:r/>
            <w:r>
              <w:rPr>
                <w:sz w:val="17"/>
              </w:rPr>
              <w:t>9</w:t>
            </w:r>
          </w:p>
        </w:tc>
        <w:tc>
          <w:tcPr>
            <w:tcW w:type="dxa" w:w="3960"/>
            <w:vAlign w:val="center"/>
          </w:tcPr>
          <w:p>
            <w:pPr>
              <w:spacing w:after="40" w:before="40"/>
            </w:pPr>
            <w:r/>
            <w:r>
              <w:rPr>
                <w:sz w:val="17"/>
              </w:rPr>
              <w:t>08_clusters_vs_churn.png</w:t>
            </w:r>
          </w:p>
        </w:tc>
        <w:tc>
          <w:tcPr>
            <w:tcW w:type="dxa" w:w="4752"/>
            <w:vAlign w:val="center"/>
          </w:tcPr>
          <w:p>
            <w:pPr>
              <w:spacing w:after="40" w:before="40"/>
            </w:pPr>
            <w:r/>
            <w:r>
              <w:rPr>
                <w:sz w:val="17"/>
              </w:rPr>
              <w:t>Agreement indices and churn by cluster</w:t>
            </w:r>
          </w:p>
        </w:tc>
      </w:tr>
      <w:tr>
        <w:trPr>
          <w:cantSplit w:val="true"/>
        </w:trPr>
        <w:tc>
          <w:tcPr>
            <w:tcW w:type="dxa" w:w="648"/>
            <w:vAlign w:val="center"/>
            <w:shd w:fill="F1F5F9"/>
          </w:tcPr>
          <w:p>
            <w:pPr>
              <w:spacing w:after="40" w:before="40"/>
            </w:pPr>
            <w:r/>
            <w:r>
              <w:rPr>
                <w:sz w:val="17"/>
              </w:rPr>
              <w:t>10</w:t>
            </w:r>
          </w:p>
        </w:tc>
        <w:tc>
          <w:tcPr>
            <w:tcW w:type="dxa" w:w="3960"/>
            <w:vAlign w:val="center"/>
            <w:shd w:fill="F1F5F9"/>
          </w:tcPr>
          <w:p>
            <w:pPr>
              <w:spacing w:after="40" w:before="40"/>
            </w:pPr>
            <w:r/>
            <w:r>
              <w:rPr>
                <w:sz w:val="17"/>
              </w:rPr>
              <w:t>09_dimensionality_experiment.png</w:t>
            </w:r>
          </w:p>
        </w:tc>
        <w:tc>
          <w:tcPr>
            <w:tcW w:type="dxa" w:w="4752"/>
            <w:vAlign w:val="center"/>
            <w:shd w:fill="F1F5F9"/>
          </w:tcPr>
          <w:p>
            <w:pPr>
              <w:spacing w:after="40" w:before="40"/>
            </w:pPr>
            <w:r/>
            <w:r>
              <w:rPr>
                <w:sz w:val="17"/>
              </w:rPr>
              <w:t>Silhouette in reduced vs original space</w:t>
            </w:r>
          </w:p>
        </w:tc>
      </w:tr>
      <w:tr>
        <w:trPr>
          <w:cantSplit w:val="true"/>
        </w:trPr>
        <w:tc>
          <w:tcPr>
            <w:tcW w:type="dxa" w:w="648"/>
            <w:vAlign w:val="center"/>
          </w:tcPr>
          <w:p>
            <w:pPr>
              <w:spacing w:after="40" w:before="40"/>
            </w:pPr>
            <w:r/>
            <w:r>
              <w:rPr>
                <w:sz w:val="17"/>
              </w:rPr>
              <w:t>11</w:t>
            </w:r>
          </w:p>
        </w:tc>
        <w:tc>
          <w:tcPr>
            <w:tcW w:type="dxa" w:w="3960"/>
            <w:vAlign w:val="center"/>
          </w:tcPr>
          <w:p>
            <w:pPr>
              <w:spacing w:after="40" w:before="40"/>
            </w:pPr>
            <w:r/>
            <w:r>
              <w:rPr>
                <w:sz w:val="17"/>
              </w:rPr>
              <w:t>10_confusion_matrix.png</w:t>
            </w:r>
          </w:p>
        </w:tc>
        <w:tc>
          <w:tcPr>
            <w:tcW w:type="dxa" w:w="4752"/>
            <w:vAlign w:val="center"/>
          </w:tcPr>
          <w:p>
            <w:pPr>
              <w:spacing w:after="40" w:before="40"/>
            </w:pPr>
            <w:r/>
            <w:r>
              <w:rPr>
                <w:sz w:val="17"/>
              </w:rPr>
              <w:t>Confusion matrix and derived metrics</w:t>
            </w:r>
          </w:p>
        </w:tc>
      </w:tr>
      <w:tr>
        <w:trPr>
          <w:cantSplit w:val="true"/>
        </w:trPr>
        <w:tc>
          <w:tcPr>
            <w:tcW w:type="dxa" w:w="648"/>
            <w:vAlign w:val="center"/>
            <w:shd w:fill="F1F5F9"/>
          </w:tcPr>
          <w:p>
            <w:pPr>
              <w:spacing w:after="40" w:before="40"/>
            </w:pPr>
            <w:r/>
            <w:r>
              <w:rPr>
                <w:sz w:val="17"/>
              </w:rPr>
              <w:t>12</w:t>
            </w:r>
          </w:p>
        </w:tc>
        <w:tc>
          <w:tcPr>
            <w:tcW w:type="dxa" w:w="3960"/>
            <w:vAlign w:val="center"/>
            <w:shd w:fill="F1F5F9"/>
          </w:tcPr>
          <w:p>
            <w:pPr>
              <w:spacing w:after="40" w:before="40"/>
            </w:pPr>
            <w:r/>
            <w:r>
              <w:rPr>
                <w:sz w:val="17"/>
              </w:rPr>
              <w:t>11_curves.png</w:t>
            </w:r>
          </w:p>
        </w:tc>
        <w:tc>
          <w:tcPr>
            <w:tcW w:type="dxa" w:w="4752"/>
            <w:vAlign w:val="center"/>
            <w:shd w:fill="F1F5F9"/>
          </w:tcPr>
          <w:p>
            <w:pPr>
              <w:spacing w:after="40" w:before="40"/>
            </w:pPr>
            <w:r/>
            <w:r>
              <w:rPr>
                <w:sz w:val="17"/>
              </w:rPr>
              <w:t>ROC, precision-recall and calibration</w:t>
            </w:r>
          </w:p>
        </w:tc>
      </w:tr>
      <w:tr>
        <w:trPr>
          <w:cantSplit w:val="true"/>
        </w:trPr>
        <w:tc>
          <w:tcPr>
            <w:tcW w:type="dxa" w:w="648"/>
            <w:vAlign w:val="center"/>
          </w:tcPr>
          <w:p>
            <w:pPr>
              <w:spacing w:after="40" w:before="40"/>
            </w:pPr>
            <w:r/>
            <w:r>
              <w:rPr>
                <w:sz w:val="17"/>
              </w:rPr>
              <w:t>13</w:t>
            </w:r>
          </w:p>
        </w:tc>
        <w:tc>
          <w:tcPr>
            <w:tcW w:type="dxa" w:w="3960"/>
            <w:vAlign w:val="center"/>
          </w:tcPr>
          <w:p>
            <w:pPr>
              <w:spacing w:after="40" w:before="40"/>
            </w:pPr>
            <w:r/>
            <w:r>
              <w:rPr>
                <w:sz w:val="17"/>
              </w:rPr>
              <w:t>12_tuning_results.png</w:t>
            </w:r>
          </w:p>
        </w:tc>
        <w:tc>
          <w:tcPr>
            <w:tcW w:type="dxa" w:w="4752"/>
            <w:vAlign w:val="center"/>
          </w:tcPr>
          <w:p>
            <w:pPr>
              <w:spacing w:after="40" w:before="40"/>
            </w:pPr>
            <w:r/>
            <w:r>
              <w:rPr>
                <w:sz w:val="17"/>
              </w:rPr>
              <w:t>Grid search results</w:t>
            </w:r>
          </w:p>
        </w:tc>
      </w:tr>
      <w:tr>
        <w:trPr>
          <w:cantSplit w:val="true"/>
        </w:trPr>
        <w:tc>
          <w:tcPr>
            <w:tcW w:type="dxa" w:w="648"/>
            <w:vAlign w:val="center"/>
            <w:shd w:fill="F1F5F9"/>
          </w:tcPr>
          <w:p>
            <w:pPr>
              <w:spacing w:after="40" w:before="40"/>
            </w:pPr>
            <w:r/>
            <w:r>
              <w:rPr>
                <w:sz w:val="17"/>
              </w:rPr>
              <w:t>14</w:t>
            </w:r>
          </w:p>
        </w:tc>
        <w:tc>
          <w:tcPr>
            <w:tcW w:type="dxa" w:w="3960"/>
            <w:vAlign w:val="center"/>
            <w:shd w:fill="F1F5F9"/>
          </w:tcPr>
          <w:p>
            <w:pPr>
              <w:spacing w:after="40" w:before="40"/>
            </w:pPr>
            <w:r/>
            <w:r>
              <w:rPr>
                <w:sz w:val="17"/>
              </w:rPr>
              <w:t>13_learning_curve.png</w:t>
            </w:r>
          </w:p>
        </w:tc>
        <w:tc>
          <w:tcPr>
            <w:tcW w:type="dxa" w:w="4752"/>
            <w:vAlign w:val="center"/>
            <w:shd w:fill="F1F5F9"/>
          </w:tcPr>
          <w:p>
            <w:pPr>
              <w:spacing w:after="40" w:before="40"/>
            </w:pPr>
            <w:r/>
            <w:r>
              <w:rPr>
                <w:sz w:val="17"/>
              </w:rPr>
              <w:t>Learning curve and nested CV</w:t>
            </w:r>
          </w:p>
        </w:tc>
      </w:tr>
    </w:tbl>
    <w:p>
      <w:pPr>
        <w:spacing w:after="40" w:before="0"/>
      </w:pPr>
    </w:p>
    <w:sectPr w:rsidR="00FC693F" w:rsidRPr="0006063C" w:rsidSect="00034616">
      <w:headerReference w:type="default" r:id="rId9"/>
      <w:footerReference w:type="default" r:id="rId10"/>
      <w:pgSz w:w="12240" w:h="15840"/>
      <w:pgMar w:top="1152" w:right="1238" w:bottom="1123"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A8794"/>
        <w:sz w:val="16"/>
      </w:rPr>
      <w:t xml:space="preserve">Page </w:t>
    </w:r>
    <w:r>
      <w:rPr>
        <w:sz w:val="16"/>
      </w:rPr>
      <w:fldChar w:fldCharType="begin"/>
    </w:r>
    <w:r>
      <w:rPr>
        <w:sz w:val="16"/>
      </w:rPr>
      <w:instrText xml:space="preserve"> PAGE </w:instrText>
    </w:r>
    <w:r>
      <w:rPr>
        <w:sz w:val="16"/>
      </w:rPr>
      <w:fldChar w:fldCharType="end"/>
    </w:r>
    <w:r>
      <w:rPr>
        <w:color w:val="7A8794"/>
        <w:sz w:val="16"/>
      </w:rPr>
      <w:t xml:space="preserve">   ·   Peram Dhanam Srinivas   ·   Week 3 — Unsupervised Learning &amp; Model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37A7A"/>
        <w:sz w:val="15"/>
      </w:rPr>
      <w:t>YUVA INTERNSHIP   ·   WEEK 3   ·   UNSUPERVISED LEARNING &amp; MODEL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2934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52" w:lineRule="auto"/>
      <w:outlineLvl w:val="0"/>
    </w:pPr>
    <w:rPr>
      <w:rFonts w:asciiTheme="majorHAnsi" w:eastAsiaTheme="majorEastAsia" w:hAnsiTheme="majorHAnsi" w:cstheme="majorBidi" w:ascii="Calibri" w:hAnsi="Calibr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80" w:line="252" w:lineRule="auto"/>
      <w:outlineLvl w:val="1"/>
    </w:pPr>
    <w:rPr>
      <w:rFonts w:asciiTheme="majorHAnsi" w:eastAsiaTheme="majorEastAsia" w:hAnsiTheme="majorHAnsi" w:cstheme="majorBidi" w:ascii="Calibri" w:hAnsi="Calibri"/>
      <w:b/>
      <w:bCs/>
      <w:color w:val="237A7A"/>
      <w:sz w:val="25"/>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3A4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Unsupervised Learning &amp; Model Evaluation</dc:title>
  <dc:subject>Week 3 — Unsupervised Learning &amp; Model Evaluation</dc:subject>
  <dc:creator>Peram Dhanam Srinivas</dc:creator>
  <cp:keywords>unsupervised learning, clustering, k-means, hierarchical clustering, PCA, cross-validation, confusion matrix, precision, recall, F1, ROC-AUC, hyperparameter tuning</cp:keywords>
  <dc:description>Author: Peram Dhanam Srinivas. Generated from week-3/outputs/week3_summary.json. Synthetic teaching dataset; not real customer data.</dc:description>
  <cp:lastModifiedBy/>
  <cp:revision>1</cp:revision>
  <dcterms:created xsi:type="dcterms:W3CDTF">2013-12-23T23:15:00Z</dcterms:created>
  <dcterms:modified xsi:type="dcterms:W3CDTF">2013-12-23T23:15:00Z</dcterms:modified>
  <cp:category/>
</cp:coreProperties>
</file>