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rPr>
          <w:rFonts w:ascii="Aptos Display" w:hAnsi="Aptos Display"/>
          <w:b/>
          <w:color w:val="17324D"/>
          <w:sz w:val="50"/>
        </w:rPr>
        <w:t>Week 1 — Data Preprocessing</w:t>
      </w:r>
    </w:p>
    <w:p>
      <w:pPr>
        <w:spacing w:after="280"/>
        <w:jc w:val="center"/>
      </w:pPr>
      <w:r>
        <w:rPr>
          <w:color w:val="237A7A"/>
          <w:sz w:val="24"/>
        </w:rPr>
        <w:t>Python fundamentals • NumPy • Pandas • Exploratory analysis</w:t>
      </w:r>
    </w:p>
    <w:p>
      <w:pPr>
        <w:spacing w:after="400"/>
        <w:jc w:val="center"/>
      </w:pPr>
      <w:r>
        <w:rPr>
          <w:b/>
          <w:color w:val="646E78"/>
          <w:sz w:val="18"/>
        </w:rPr>
        <w:t>COMPLETED PROJECT REPORT  •  Yuva Internship</w:t>
      </w:r>
    </w:p>
    <w:p>
      <w:pPr>
        <w:spacing w:after="280"/>
        <w:jc w:val="center"/>
      </w:pPr>
      <w:r>
        <w:rPr>
          <w:color w:val="237A7A"/>
          <w:sz w:val="16"/>
        </w:rPr>
        <w:t>Project repository: https://github.com/Dhanam33/Yuva_intern/tree/arena/01a1004b-yuva-intern</w:t>
      </w:r>
    </w:p>
    <w:p>
      <w:pPr>
        <w:pStyle w:val="Heading1"/>
      </w:pPr>
      <w:r>
        <w:t>Executive summary</w:t>
      </w:r>
    </w:p>
    <w:p>
      <w:r>
        <w:t>This report loads, audits, explores, cleans, and transforms a sample dataset for a machine-learning workflow. It demonstrates numeric and categorical missing-value handling, encoding, scaling, and feature selection, with reproducible outputs in the repo.</w:t>
      </w:r>
    </w:p>
    <w:tbl>
      <w:tblPr>
        <w:tblStyle w:val="LightShading-Accent1"/>
        <w:tblW w:type="auto" w:w="0"/>
        <w:tblLayout w:type="autofit"/>
        <w:tblLook w:firstColumn="1" w:firstRow="1" w:lastColumn="0" w:lastRow="0" w:noHBand="0" w:noVBand="1" w:val="04A0"/>
      </w:tblPr>
      <w:tblGrid>
        <w:gridCol w:w="4997"/>
        <w:gridCol w:w="4997"/>
      </w:tblGrid>
      <w:tr>
        <w:trPr>
          <w:tblHeader w:val="true"/>
        </w:trPr>
        <w:tc>
          <w:tcPr>
            <w:tcW w:type="dxa" w:w="4997"/>
            <w:vAlign w:val="center"/>
            <w:shd w:fill="17324D"/>
          </w:tcPr>
          <w:p>
            <w:r>
              <w:rPr>
                <w:b/>
                <w:color w:val="FFFFFF"/>
                <w:sz w:val="18"/>
              </w:rPr>
              <w:t>Dataset measure</w:t>
            </w:r>
          </w:p>
        </w:tc>
        <w:tc>
          <w:tcPr>
            <w:tcW w:type="dxa" w:w="4997"/>
            <w:vAlign w:val="center"/>
            <w:shd w:fill="17324D"/>
          </w:tcPr>
          <w:p>
            <w:r>
              <w:rPr>
                <w:b/>
                <w:color w:val="FFFFFF"/>
                <w:sz w:val="18"/>
              </w:rPr>
              <w:t>Result</w:t>
            </w:r>
          </w:p>
        </w:tc>
      </w:tr>
      <w:tr>
        <w:tc>
          <w:tcPr>
            <w:tcW w:type="dxa" w:w="4997"/>
            <w:vAlign w:val="center"/>
          </w:tcPr>
          <w:p>
            <w:pPr>
              <w:spacing w:after="40"/>
            </w:pPr>
            <w:r>
              <w:rPr>
                <w:sz w:val="18"/>
              </w:rPr>
              <w:t>Source</w:t>
            </w:r>
          </w:p>
        </w:tc>
        <w:tc>
          <w:tcPr>
            <w:tcW w:type="dxa" w:w="4997"/>
            <w:vAlign w:val="center"/>
          </w:tcPr>
          <w:p>
            <w:pPr>
              <w:spacing w:after="40"/>
            </w:pPr>
            <w:r>
              <w:rPr>
                <w:sz w:val="18"/>
              </w:rPr>
              <w:t>Synthetic customer-churn sample (seed 2026; not real customer data)</w:t>
            </w:r>
          </w:p>
        </w:tc>
      </w:tr>
      <w:tr>
        <w:tc>
          <w:tcPr>
            <w:tcW w:type="dxa" w:w="4997"/>
            <w:vAlign w:val="center"/>
          </w:tcPr>
          <w:p>
            <w:pPr>
              <w:spacing w:after="40"/>
            </w:pPr>
            <w:r>
              <w:rPr>
                <w:sz w:val="18"/>
              </w:rPr>
              <w:t>Rows</w:t>
            </w:r>
          </w:p>
        </w:tc>
        <w:tc>
          <w:tcPr>
            <w:tcW w:type="dxa" w:w="4997"/>
            <w:vAlign w:val="center"/>
          </w:tcPr>
          <w:p>
            <w:pPr>
              <w:spacing w:after="40"/>
            </w:pPr>
            <w:r>
              <w:rPr>
                <w:sz w:val="18"/>
              </w:rPr>
              <w:t>1,800</w:t>
            </w:r>
          </w:p>
        </w:tc>
      </w:tr>
      <w:tr>
        <w:tc>
          <w:tcPr>
            <w:tcW w:type="dxa" w:w="4997"/>
            <w:vAlign w:val="center"/>
          </w:tcPr>
          <w:p>
            <w:pPr>
              <w:spacing w:after="40"/>
            </w:pPr>
            <w:r>
              <w:rPr>
                <w:sz w:val="18"/>
              </w:rPr>
              <w:t>Input features before encoding</w:t>
            </w:r>
          </w:p>
        </w:tc>
        <w:tc>
          <w:tcPr>
            <w:tcW w:type="dxa" w:w="4997"/>
            <w:vAlign w:val="center"/>
          </w:tcPr>
          <w:p>
            <w:pPr>
              <w:spacing w:after="40"/>
            </w:pPr>
            <w:r>
              <w:rPr>
                <w:sz w:val="18"/>
              </w:rPr>
              <w:t>11</w:t>
            </w:r>
          </w:p>
        </w:tc>
      </w:tr>
      <w:tr>
        <w:tc>
          <w:tcPr>
            <w:tcW w:type="dxa" w:w="4997"/>
            <w:vAlign w:val="center"/>
          </w:tcPr>
          <w:p>
            <w:pPr>
              <w:spacing w:after="40"/>
            </w:pPr>
            <w:r>
              <w:rPr>
                <w:sz w:val="18"/>
              </w:rPr>
              <w:t>Raw missing feature cells</w:t>
            </w:r>
          </w:p>
        </w:tc>
        <w:tc>
          <w:tcPr>
            <w:tcW w:type="dxa" w:w="4997"/>
            <w:vAlign w:val="center"/>
          </w:tcPr>
          <w:p>
            <w:pPr>
              <w:spacing w:after="40"/>
            </w:pPr>
            <w:r>
              <w:rPr>
                <w:sz w:val="18"/>
              </w:rPr>
              <w:t>562</w:t>
            </w:r>
          </w:p>
        </w:tc>
      </w:tr>
      <w:tr>
        <w:tc>
          <w:tcPr>
            <w:tcW w:type="dxa" w:w="4997"/>
            <w:vAlign w:val="center"/>
          </w:tcPr>
          <w:p>
            <w:pPr>
              <w:spacing w:after="40"/>
            </w:pPr>
            <w:r>
              <w:rPr>
                <w:sz w:val="18"/>
              </w:rPr>
              <w:t>Churn labels</w:t>
            </w:r>
          </w:p>
        </w:tc>
        <w:tc>
          <w:tcPr>
            <w:tcW w:type="dxa" w:w="4997"/>
            <w:vAlign w:val="center"/>
          </w:tcPr>
          <w:p>
            <w:pPr>
              <w:spacing w:after="40"/>
            </w:pPr>
            <w:r>
              <w:rPr>
                <w:sz w:val="18"/>
              </w:rPr>
              <w:t>No 1,320; Yes 480 (26.7% Yes)</w:t>
            </w:r>
          </w:p>
        </w:tc>
      </w:tr>
      <w:tr>
        <w:tc>
          <w:tcPr>
            <w:tcW w:type="dxa" w:w="4997"/>
            <w:vAlign w:val="center"/>
          </w:tcPr>
          <w:p>
            <w:pPr>
              <w:spacing w:after="40"/>
            </w:pPr>
            <w:r>
              <w:rPr>
                <w:sz w:val="18"/>
              </w:rPr>
              <w:t>Encoded/scaled feature columns</w:t>
            </w:r>
          </w:p>
        </w:tc>
        <w:tc>
          <w:tcPr>
            <w:tcW w:type="dxa" w:w="4997"/>
            <w:vAlign w:val="center"/>
          </w:tcPr>
          <w:p>
            <w:pPr>
              <w:spacing w:after="40"/>
            </w:pPr>
            <w:r>
              <w:rPr>
                <w:sz w:val="18"/>
              </w:rPr>
              <w:t>25</w:t>
            </w:r>
          </w:p>
        </w:tc>
      </w:tr>
      <w:tr>
        <w:tc>
          <w:tcPr>
            <w:tcW w:type="dxa" w:w="4997"/>
            <w:vAlign w:val="center"/>
          </w:tcPr>
          <w:p>
            <w:pPr>
              <w:spacing w:after="40"/>
            </w:pPr>
            <w:r>
              <w:rPr>
                <w:sz w:val="18"/>
              </w:rPr>
              <w:t>Missing cells after transformation</w:t>
            </w:r>
          </w:p>
        </w:tc>
        <w:tc>
          <w:tcPr>
            <w:tcW w:type="dxa" w:w="4997"/>
            <w:vAlign w:val="center"/>
          </w:tcPr>
          <w:p>
            <w:pPr>
              <w:spacing w:after="40"/>
            </w:pPr>
            <w:r>
              <w:rPr>
                <w:sz w:val="18"/>
              </w:rPr>
              <w:t>0</w:t>
            </w:r>
          </w:p>
        </w:tc>
      </w:tr>
    </w:tbl>
    <w:p>
      <w:pPr>
        <w:spacing w:after="20"/>
      </w:pPr>
    </w:p>
    <w:p>
      <w:pPr>
        <w:pStyle w:val="Heading1"/>
      </w:pPr>
      <w:r>
        <w:t>Data loading and quality audit</w:t>
      </w:r>
    </w:p>
    <w:p>
      <w:r>
        <w:t>The raw CSV contains a customer identifier, 11 model inputs, and a Yes/No target. The identifier is preserved in the clean export for traceability but excluded from model inputs. Duplicate rows and duplicate IDs are checked before analysis; none were found in the seeded sample. The target remains complete so records can be used consistently.</w:t>
      </w:r>
    </w:p>
    <w:tbl>
      <w:tblPr>
        <w:tblStyle w:val="LightShading-Accent1"/>
        <w:tblW w:type="auto" w:w="0"/>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7324D"/>
          </w:tcPr>
          <w:p>
            <w:r>
              <w:rPr>
                <w:b/>
                <w:color w:val="FFFFFF"/>
                <w:sz w:val="18"/>
              </w:rPr>
              <w:t>Feature</w:t>
            </w:r>
          </w:p>
        </w:tc>
        <w:tc>
          <w:tcPr>
            <w:tcW w:type="dxa" w:w="3331"/>
            <w:vAlign w:val="center"/>
            <w:shd w:fill="17324D"/>
          </w:tcPr>
          <w:p>
            <w:r>
              <w:rPr>
                <w:b/>
                <w:color w:val="FFFFFF"/>
                <w:sz w:val="18"/>
              </w:rPr>
              <w:t>Missing cells</w:t>
            </w:r>
          </w:p>
        </w:tc>
        <w:tc>
          <w:tcPr>
            <w:tcW w:type="dxa" w:w="3331"/>
            <w:vAlign w:val="center"/>
            <w:shd w:fill="17324D"/>
          </w:tcPr>
          <w:p>
            <w:r>
              <w:rPr>
                <w:b/>
                <w:color w:val="FFFFFF"/>
                <w:sz w:val="18"/>
              </w:rPr>
              <w:t>Missing %</w:t>
            </w:r>
          </w:p>
        </w:tc>
      </w:tr>
      <w:tr>
        <w:tc>
          <w:tcPr>
            <w:tcW w:type="dxa" w:w="3331"/>
            <w:vAlign w:val="center"/>
          </w:tcPr>
          <w:p>
            <w:pPr>
              <w:spacing w:after="40"/>
            </w:pPr>
            <w:r>
              <w:rPr>
                <w:sz w:val="18"/>
              </w:rPr>
              <w:t>tenure_months</w:t>
            </w:r>
          </w:p>
        </w:tc>
        <w:tc>
          <w:tcPr>
            <w:tcW w:type="dxa" w:w="3331"/>
            <w:vAlign w:val="center"/>
          </w:tcPr>
          <w:p>
            <w:pPr>
              <w:spacing w:after="40"/>
            </w:pPr>
            <w:r>
              <w:rPr>
                <w:sz w:val="18"/>
              </w:rPr>
              <w:t>77</w:t>
            </w:r>
          </w:p>
        </w:tc>
        <w:tc>
          <w:tcPr>
            <w:tcW w:type="dxa" w:w="3331"/>
            <w:vAlign w:val="center"/>
          </w:tcPr>
          <w:p>
            <w:pPr>
              <w:spacing w:after="40"/>
            </w:pPr>
            <w:r>
              <w:rPr>
                <w:sz w:val="18"/>
              </w:rPr>
              <w:t>4.28%</w:t>
            </w:r>
          </w:p>
        </w:tc>
      </w:tr>
      <w:tr>
        <w:tc>
          <w:tcPr>
            <w:tcW w:type="dxa" w:w="3331"/>
            <w:vAlign w:val="center"/>
          </w:tcPr>
          <w:p>
            <w:pPr>
              <w:spacing w:after="40"/>
            </w:pPr>
            <w:r>
              <w:rPr>
                <w:sz w:val="18"/>
              </w:rPr>
              <w:t>monthly_charges</w:t>
            </w:r>
          </w:p>
        </w:tc>
        <w:tc>
          <w:tcPr>
            <w:tcW w:type="dxa" w:w="3331"/>
            <w:vAlign w:val="center"/>
          </w:tcPr>
          <w:p>
            <w:pPr>
              <w:spacing w:after="40"/>
            </w:pPr>
            <w:r>
              <w:rPr>
                <w:sz w:val="18"/>
              </w:rPr>
              <w:t>78</w:t>
            </w:r>
          </w:p>
        </w:tc>
        <w:tc>
          <w:tcPr>
            <w:tcW w:type="dxa" w:w="3331"/>
            <w:vAlign w:val="center"/>
          </w:tcPr>
          <w:p>
            <w:pPr>
              <w:spacing w:after="40"/>
            </w:pPr>
            <w:r>
              <w:rPr>
                <w:sz w:val="18"/>
              </w:rPr>
              <w:t>4.33%</w:t>
            </w:r>
          </w:p>
        </w:tc>
      </w:tr>
      <w:tr>
        <w:tc>
          <w:tcPr>
            <w:tcW w:type="dxa" w:w="3331"/>
            <w:vAlign w:val="center"/>
          </w:tcPr>
          <w:p>
            <w:pPr>
              <w:spacing w:after="40"/>
            </w:pPr>
            <w:r>
              <w:rPr>
                <w:sz w:val="18"/>
              </w:rPr>
              <w:t>total_charges</w:t>
            </w:r>
          </w:p>
        </w:tc>
        <w:tc>
          <w:tcPr>
            <w:tcW w:type="dxa" w:w="3331"/>
            <w:vAlign w:val="center"/>
          </w:tcPr>
          <w:p>
            <w:pPr>
              <w:spacing w:after="40"/>
            </w:pPr>
            <w:r>
              <w:rPr>
                <w:sz w:val="18"/>
              </w:rPr>
              <w:t>74</w:t>
            </w:r>
          </w:p>
        </w:tc>
        <w:tc>
          <w:tcPr>
            <w:tcW w:type="dxa" w:w="3331"/>
            <w:vAlign w:val="center"/>
          </w:tcPr>
          <w:p>
            <w:pPr>
              <w:spacing w:after="40"/>
            </w:pPr>
            <w:r>
              <w:rPr>
                <w:sz w:val="18"/>
              </w:rPr>
              <w:t>4.11%</w:t>
            </w:r>
          </w:p>
        </w:tc>
      </w:tr>
      <w:tr>
        <w:tc>
          <w:tcPr>
            <w:tcW w:type="dxa" w:w="3331"/>
            <w:vAlign w:val="center"/>
          </w:tcPr>
          <w:p>
            <w:pPr>
              <w:spacing w:after="40"/>
            </w:pPr>
            <w:r>
              <w:rPr>
                <w:sz w:val="18"/>
              </w:rPr>
              <w:t>support_tickets</w:t>
            </w:r>
          </w:p>
        </w:tc>
        <w:tc>
          <w:tcPr>
            <w:tcW w:type="dxa" w:w="3331"/>
            <w:vAlign w:val="center"/>
          </w:tcPr>
          <w:p>
            <w:pPr>
              <w:spacing w:after="40"/>
            </w:pPr>
            <w:r>
              <w:rPr>
                <w:sz w:val="18"/>
              </w:rPr>
              <w:t>89</w:t>
            </w:r>
          </w:p>
        </w:tc>
        <w:tc>
          <w:tcPr>
            <w:tcW w:type="dxa" w:w="3331"/>
            <w:vAlign w:val="center"/>
          </w:tcPr>
          <w:p>
            <w:pPr>
              <w:spacing w:after="40"/>
            </w:pPr>
            <w:r>
              <w:rPr>
                <w:sz w:val="18"/>
              </w:rPr>
              <w:t>4.94%</w:t>
            </w:r>
          </w:p>
        </w:tc>
      </w:tr>
      <w:tr>
        <w:tc>
          <w:tcPr>
            <w:tcW w:type="dxa" w:w="3331"/>
            <w:vAlign w:val="center"/>
          </w:tcPr>
          <w:p>
            <w:pPr>
              <w:spacing w:after="40"/>
            </w:pPr>
            <w:r>
              <w:rPr>
                <w:sz w:val="18"/>
              </w:rPr>
              <w:t>senior_citizen</w:t>
            </w:r>
          </w:p>
        </w:tc>
        <w:tc>
          <w:tcPr>
            <w:tcW w:type="dxa" w:w="3331"/>
            <w:vAlign w:val="center"/>
          </w:tcPr>
          <w:p>
            <w:pPr>
              <w:spacing w:after="40"/>
            </w:pPr>
            <w:r>
              <w:rPr>
                <w:sz w:val="18"/>
              </w:rPr>
              <w:t>0</w:t>
            </w:r>
          </w:p>
        </w:tc>
        <w:tc>
          <w:tcPr>
            <w:tcW w:type="dxa" w:w="3331"/>
            <w:vAlign w:val="center"/>
          </w:tcPr>
          <w:p>
            <w:pPr>
              <w:spacing w:after="40"/>
            </w:pPr>
            <w:r>
              <w:rPr>
                <w:sz w:val="18"/>
              </w:rPr>
              <w:t>0.00%</w:t>
            </w:r>
          </w:p>
        </w:tc>
      </w:tr>
      <w:tr>
        <w:tc>
          <w:tcPr>
            <w:tcW w:type="dxa" w:w="3331"/>
            <w:vAlign w:val="center"/>
          </w:tcPr>
          <w:p>
            <w:pPr>
              <w:spacing w:after="40"/>
            </w:pPr>
            <w:r>
              <w:rPr>
                <w:sz w:val="18"/>
              </w:rPr>
              <w:t>contract</w:t>
            </w:r>
          </w:p>
        </w:tc>
        <w:tc>
          <w:tcPr>
            <w:tcW w:type="dxa" w:w="3331"/>
            <w:vAlign w:val="center"/>
          </w:tcPr>
          <w:p>
            <w:pPr>
              <w:spacing w:after="40"/>
            </w:pPr>
            <w:r>
              <w:rPr>
                <w:sz w:val="18"/>
              </w:rPr>
              <w:t>47</w:t>
            </w:r>
          </w:p>
        </w:tc>
        <w:tc>
          <w:tcPr>
            <w:tcW w:type="dxa" w:w="3331"/>
            <w:vAlign w:val="center"/>
          </w:tcPr>
          <w:p>
            <w:pPr>
              <w:spacing w:after="40"/>
            </w:pPr>
            <w:r>
              <w:rPr>
                <w:sz w:val="18"/>
              </w:rPr>
              <w:t>2.61%</w:t>
            </w:r>
          </w:p>
        </w:tc>
      </w:tr>
      <w:tr>
        <w:tc>
          <w:tcPr>
            <w:tcW w:type="dxa" w:w="3331"/>
            <w:vAlign w:val="center"/>
          </w:tcPr>
          <w:p>
            <w:pPr>
              <w:spacing w:after="40"/>
            </w:pPr>
            <w:r>
              <w:rPr>
                <w:sz w:val="18"/>
              </w:rPr>
              <w:t>internet_service</w:t>
            </w:r>
          </w:p>
        </w:tc>
        <w:tc>
          <w:tcPr>
            <w:tcW w:type="dxa" w:w="3331"/>
            <w:vAlign w:val="center"/>
          </w:tcPr>
          <w:p>
            <w:pPr>
              <w:spacing w:after="40"/>
            </w:pPr>
            <w:r>
              <w:rPr>
                <w:sz w:val="18"/>
              </w:rPr>
              <w:t>42</w:t>
            </w:r>
          </w:p>
        </w:tc>
        <w:tc>
          <w:tcPr>
            <w:tcW w:type="dxa" w:w="3331"/>
            <w:vAlign w:val="center"/>
          </w:tcPr>
          <w:p>
            <w:pPr>
              <w:spacing w:after="40"/>
            </w:pPr>
            <w:r>
              <w:rPr>
                <w:sz w:val="18"/>
              </w:rPr>
              <w:t>2.33%</w:t>
            </w:r>
          </w:p>
        </w:tc>
      </w:tr>
      <w:tr>
        <w:tc>
          <w:tcPr>
            <w:tcW w:type="dxa" w:w="3331"/>
            <w:vAlign w:val="center"/>
          </w:tcPr>
          <w:p>
            <w:pPr>
              <w:spacing w:after="40"/>
            </w:pPr>
            <w:r>
              <w:rPr>
                <w:sz w:val="18"/>
              </w:rPr>
              <w:t>payment_method</w:t>
            </w:r>
          </w:p>
        </w:tc>
        <w:tc>
          <w:tcPr>
            <w:tcW w:type="dxa" w:w="3331"/>
            <w:vAlign w:val="center"/>
          </w:tcPr>
          <w:p>
            <w:pPr>
              <w:spacing w:after="40"/>
            </w:pPr>
            <w:r>
              <w:rPr>
                <w:sz w:val="18"/>
              </w:rPr>
              <w:t>52</w:t>
            </w:r>
          </w:p>
        </w:tc>
        <w:tc>
          <w:tcPr>
            <w:tcW w:type="dxa" w:w="3331"/>
            <w:vAlign w:val="center"/>
          </w:tcPr>
          <w:p>
            <w:pPr>
              <w:spacing w:after="40"/>
            </w:pPr>
            <w:r>
              <w:rPr>
                <w:sz w:val="18"/>
              </w:rPr>
              <w:t>2.89%</w:t>
            </w:r>
          </w:p>
        </w:tc>
      </w:tr>
      <w:tr>
        <w:tc>
          <w:tcPr>
            <w:tcW w:type="dxa" w:w="3331"/>
            <w:vAlign w:val="center"/>
          </w:tcPr>
          <w:p>
            <w:pPr>
              <w:spacing w:after="40"/>
            </w:pPr>
            <w:r>
              <w:rPr>
                <w:sz w:val="18"/>
              </w:rPr>
              <w:t>paperless_billing</w:t>
            </w:r>
          </w:p>
        </w:tc>
        <w:tc>
          <w:tcPr>
            <w:tcW w:type="dxa" w:w="3331"/>
            <w:vAlign w:val="center"/>
          </w:tcPr>
          <w:p>
            <w:pPr>
              <w:spacing w:after="40"/>
            </w:pPr>
            <w:r>
              <w:rPr>
                <w:sz w:val="18"/>
              </w:rPr>
              <w:t>36</w:t>
            </w:r>
          </w:p>
        </w:tc>
        <w:tc>
          <w:tcPr>
            <w:tcW w:type="dxa" w:w="3331"/>
            <w:vAlign w:val="center"/>
          </w:tcPr>
          <w:p>
            <w:pPr>
              <w:spacing w:after="40"/>
            </w:pPr>
            <w:r>
              <w:rPr>
                <w:sz w:val="18"/>
              </w:rPr>
              <w:t>2.00%</w:t>
            </w:r>
          </w:p>
        </w:tc>
      </w:tr>
      <w:tr>
        <w:tc>
          <w:tcPr>
            <w:tcW w:type="dxa" w:w="3331"/>
            <w:vAlign w:val="center"/>
          </w:tcPr>
          <w:p>
            <w:pPr>
              <w:spacing w:after="40"/>
            </w:pPr>
            <w:r>
              <w:rPr>
                <w:sz w:val="18"/>
              </w:rPr>
              <w:t>partner</w:t>
            </w:r>
          </w:p>
        </w:tc>
        <w:tc>
          <w:tcPr>
            <w:tcW w:type="dxa" w:w="3331"/>
            <w:vAlign w:val="center"/>
          </w:tcPr>
          <w:p>
            <w:pPr>
              <w:spacing w:after="40"/>
            </w:pPr>
            <w:r>
              <w:rPr>
                <w:sz w:val="18"/>
              </w:rPr>
              <w:t>33</w:t>
            </w:r>
          </w:p>
        </w:tc>
        <w:tc>
          <w:tcPr>
            <w:tcW w:type="dxa" w:w="3331"/>
            <w:vAlign w:val="center"/>
          </w:tcPr>
          <w:p>
            <w:pPr>
              <w:spacing w:after="40"/>
            </w:pPr>
            <w:r>
              <w:rPr>
                <w:sz w:val="18"/>
              </w:rPr>
              <w:t>1.83%</w:t>
            </w:r>
          </w:p>
        </w:tc>
      </w:tr>
      <w:tr>
        <w:tc>
          <w:tcPr>
            <w:tcW w:type="dxa" w:w="3331"/>
            <w:vAlign w:val="center"/>
          </w:tcPr>
          <w:p>
            <w:pPr>
              <w:spacing w:after="40"/>
            </w:pPr>
            <w:r>
              <w:rPr>
                <w:sz w:val="18"/>
              </w:rPr>
              <w:t>dependents</w:t>
            </w:r>
          </w:p>
        </w:tc>
        <w:tc>
          <w:tcPr>
            <w:tcW w:type="dxa" w:w="3331"/>
            <w:vAlign w:val="center"/>
          </w:tcPr>
          <w:p>
            <w:pPr>
              <w:spacing w:after="40"/>
            </w:pPr>
            <w:r>
              <w:rPr>
                <w:sz w:val="18"/>
              </w:rPr>
              <w:t>34</w:t>
            </w:r>
          </w:p>
        </w:tc>
        <w:tc>
          <w:tcPr>
            <w:tcW w:type="dxa" w:w="3331"/>
            <w:vAlign w:val="center"/>
          </w:tcPr>
          <w:p>
            <w:pPr>
              <w:spacing w:after="40"/>
            </w:pPr>
            <w:r>
              <w:rPr>
                <w:sz w:val="18"/>
              </w:rPr>
              <w:t>1.89%</w:t>
            </w:r>
          </w:p>
        </w:tc>
      </w:tr>
    </w:tbl>
    <w:p>
      <w:pPr>
        <w:spacing w:after="20"/>
      </w:pPr>
    </w:p>
    <w:p>
      <w:pPr>
        <w:pStyle w:val="Heading1"/>
      </w:pPr>
      <w:r>
        <w:t>Exploratory data analysis</w:t>
      </w:r>
    </w:p>
    <w:p>
      <w:r>
        <w:t>The target plot makes the 26.7% positive-class share visible. The contract comparison shows lower observed churn among longer-term contracts in this generated sample. These patterns are descriptive, not causal, and should not be generalized to real customers.</w:t>
      </w:r>
    </w:p>
    <w:p>
      <w:pPr>
        <w:jc w:val="center"/>
      </w:pPr>
      <w:r>
        <w:drawing>
          <wp:inline xmlns:a="http://schemas.openxmlformats.org/drawingml/2006/main" xmlns:pic="http://schemas.openxmlformats.org/drawingml/2006/picture">
            <wp:extent cx="4480560" cy="3170858"/>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11"/>
                    <a:stretch>
                      <a:fillRect/>
                    </a:stretch>
                  </pic:blipFill>
                  <pic:spPr>
                    <a:xfrm>
                      <a:off x="0" y="0"/>
                      <a:ext cx="4480560" cy="3170858"/>
                    </a:xfrm>
                    <a:prstGeom prst="rect"/>
                  </pic:spPr>
                </pic:pic>
              </a:graphicData>
            </a:graphic>
          </wp:inline>
        </w:drawing>
      </w:r>
    </w:p>
    <w:p>
      <w:pPr>
        <w:jc w:val="center"/>
      </w:pPr>
      <w:r>
        <w:rPr>
          <w:i/>
          <w:color w:val="5A6978"/>
          <w:sz w:val="16"/>
        </w:rPr>
        <w:t>Figure 1. Distribution of the churn target.</w:t>
      </w:r>
    </w:p>
    <w:p>
      <w:pPr>
        <w:jc w:val="center"/>
      </w:pPr>
      <w:r>
        <w:drawing>
          <wp:inline xmlns:a="http://schemas.openxmlformats.org/drawingml/2006/main" xmlns:pic="http://schemas.openxmlformats.org/drawingml/2006/picture">
            <wp:extent cx="5212080" cy="3284324"/>
            <wp:docPr id="2" name="Picture 2"/>
            <wp:cNvGraphicFramePr>
              <a:graphicFrameLocks noChangeAspect="1"/>
            </wp:cNvGraphicFramePr>
            <a:graphic>
              <a:graphicData uri="http://schemas.openxmlformats.org/drawingml/2006/picture">
                <pic:pic>
                  <pic:nvPicPr>
                    <pic:cNvPr id="0" name="churn_by_contract.png"/>
                    <pic:cNvPicPr/>
                  </pic:nvPicPr>
                  <pic:blipFill>
                    <a:blip r:embed="rId12"/>
                    <a:stretch>
                      <a:fillRect/>
                    </a:stretch>
                  </pic:blipFill>
                  <pic:spPr>
                    <a:xfrm>
                      <a:off x="0" y="0"/>
                      <a:ext cx="5212080" cy="3284324"/>
                    </a:xfrm>
                    <a:prstGeom prst="rect"/>
                  </pic:spPr>
                </pic:pic>
              </a:graphicData>
            </a:graphic>
          </wp:inline>
        </w:drawing>
      </w:r>
    </w:p>
    <w:p>
      <w:pPr>
        <w:jc w:val="center"/>
      </w:pPr>
      <w:r>
        <w:rPr>
          <w:i/>
          <w:color w:val="5A6978"/>
          <w:sz w:val="16"/>
        </w:rPr>
        <w:t>Figure 2. Descriptive churn rate by contract; missing contract values are shown separately.</w:t>
      </w:r>
    </w:p>
    <w:p>
      <w:pPr>
        <w:pStyle w:val="Heading1"/>
      </w:pPr>
      <w:r>
        <w:t>Preprocessing decisions</w:t>
      </w:r>
    </w:p>
    <w:p>
      <w:pPr>
        <w:pStyle w:val="ListBullet"/>
        <w:spacing w:after="60"/>
      </w:pPr>
      <w:r>
        <w:t>Numeric input columns: fill missing values with the median and add indicators for fields that were missing; standardize with StandardScaler.</w:t>
      </w:r>
    </w:p>
    <w:p>
      <w:pPr>
        <w:pStyle w:val="ListBullet"/>
        <w:spacing w:after="60"/>
      </w:pPr>
      <w:r>
        <w:t>Categorical input columns: fill missing values with the most frequent value, then apply one-hot encoding with handle_unknown='ignore'.</w:t>
      </w:r>
    </w:p>
    <w:p>
      <w:pPr>
        <w:pStyle w:val="ListBullet"/>
        <w:spacing w:after="60"/>
      </w:pPr>
      <w:r>
        <w:t>Target: map No to 0 and Yes to 1. Customer ID is not a predictor; duplicate records/IDs are audited.</w:t>
      </w:r>
    </w:p>
    <w:p>
      <w:pPr>
        <w:pStyle w:val="ListBullet"/>
        <w:spacing w:after="60"/>
      </w:pPr>
      <w:r>
        <w:t>Feature selection: rank transformed predictors by mutual information with the churn label and export the top ten for exploratory inspection; this ranking is not used in the model evaluations.</w:t>
      </w:r>
    </w:p>
    <w:p>
      <w:pPr>
        <w:pStyle w:val="ListBullet"/>
        <w:spacing w:after="60"/>
      </w:pPr>
      <w:r>
        <w:t>Evaluation safety: the all-row transformed CSV is a Week 1 teaching artifact; later model scripts fit preprocessing only within train/CV folds. Any feature selection used for modeling should also be fitted within those folds.</w:t>
      </w:r>
    </w:p>
    <w:p>
      <w:pPr>
        <w:jc w:val="center"/>
      </w:pPr>
      <w:r>
        <w:drawing>
          <wp:inline xmlns:a="http://schemas.openxmlformats.org/drawingml/2006/main" xmlns:pic="http://schemas.openxmlformats.org/drawingml/2006/picture">
            <wp:extent cx="5394960" cy="3107966"/>
            <wp:docPr id="3" name="Picture 3"/>
            <wp:cNvGraphicFramePr>
              <a:graphicFrameLocks noChangeAspect="1"/>
            </wp:cNvGraphicFramePr>
            <a:graphic>
              <a:graphicData uri="http://schemas.openxmlformats.org/drawingml/2006/picture">
                <pic:pic>
                  <pic:nvPicPr>
                    <pic:cNvPr id="0" name="missing_values.png"/>
                    <pic:cNvPicPr/>
                  </pic:nvPicPr>
                  <pic:blipFill>
                    <a:blip r:embed="rId13"/>
                    <a:stretch>
                      <a:fillRect/>
                    </a:stretch>
                  </pic:blipFill>
                  <pic:spPr>
                    <a:xfrm>
                      <a:off x="0" y="0"/>
                      <a:ext cx="5394960" cy="3107966"/>
                    </a:xfrm>
                    <a:prstGeom prst="rect"/>
                  </pic:spPr>
                </pic:pic>
              </a:graphicData>
            </a:graphic>
          </wp:inline>
        </w:drawing>
      </w:r>
    </w:p>
    <w:p>
      <w:pPr>
        <w:jc w:val="center"/>
      </w:pPr>
      <w:r>
        <w:rPr>
          <w:i/>
          <w:color w:val="5A6978"/>
          <w:sz w:val="16"/>
        </w:rPr>
        <w:t>Figure 3. Missingness audit before imputation.</w:t>
      </w:r>
    </w:p>
    <w:p>
      <w:pPr>
        <w:pStyle w:val="Heading2"/>
      </w:pPr>
      <w:r>
        <w:t>Top ten features by mutual information</w:t>
      </w:r>
    </w:p>
    <w:tbl>
      <w:tblPr>
        <w:tblStyle w:val="LightShading-Accent1"/>
        <w:tblW w:type="auto" w:w="0"/>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7324D"/>
          </w:tcPr>
          <w:p>
            <w:r>
              <w:rPr>
                <w:b/>
                <w:color w:val="FFFFFF"/>
                <w:sz w:val="18"/>
              </w:rPr>
              <w:t>Rank</w:t>
            </w:r>
          </w:p>
        </w:tc>
        <w:tc>
          <w:tcPr>
            <w:tcW w:type="dxa" w:w="3331"/>
            <w:vAlign w:val="center"/>
            <w:shd w:fill="17324D"/>
          </w:tcPr>
          <w:p>
            <w:r>
              <w:rPr>
                <w:b/>
                <w:color w:val="FFFFFF"/>
                <w:sz w:val="18"/>
              </w:rPr>
              <w:t>Encoded feature</w:t>
            </w:r>
          </w:p>
        </w:tc>
        <w:tc>
          <w:tcPr>
            <w:tcW w:type="dxa" w:w="3331"/>
            <w:vAlign w:val="center"/>
            <w:shd w:fill="17324D"/>
          </w:tcPr>
          <w:p>
            <w:r>
              <w:rPr>
                <w:b/>
                <w:color w:val="FFFFFF"/>
                <w:sz w:val="18"/>
              </w:rPr>
              <w:t>Mutual information</w:t>
            </w:r>
          </w:p>
        </w:tc>
      </w:tr>
      <w:tr>
        <w:tc>
          <w:tcPr>
            <w:tcW w:type="dxa" w:w="3331"/>
            <w:vAlign w:val="center"/>
          </w:tcPr>
          <w:p>
            <w:pPr>
              <w:spacing w:after="40"/>
            </w:pPr>
            <w:r>
              <w:rPr>
                <w:sz w:val="18"/>
              </w:rPr>
              <w:t>1</w:t>
            </w:r>
          </w:p>
        </w:tc>
        <w:tc>
          <w:tcPr>
            <w:tcW w:type="dxa" w:w="3331"/>
            <w:vAlign w:val="center"/>
          </w:tcPr>
          <w:p>
            <w:pPr>
              <w:spacing w:after="40"/>
            </w:pPr>
            <w:r>
              <w:rPr>
                <w:sz w:val="18"/>
              </w:rPr>
              <w:t>monthly_charges</w:t>
            </w:r>
          </w:p>
        </w:tc>
        <w:tc>
          <w:tcPr>
            <w:tcW w:type="dxa" w:w="3331"/>
            <w:vAlign w:val="center"/>
          </w:tcPr>
          <w:p>
            <w:pPr>
              <w:spacing w:after="40"/>
            </w:pPr>
            <w:r>
              <w:rPr>
                <w:sz w:val="18"/>
              </w:rPr>
              <w:t>0.0762</w:t>
            </w:r>
          </w:p>
        </w:tc>
      </w:tr>
      <w:tr>
        <w:tc>
          <w:tcPr>
            <w:tcW w:type="dxa" w:w="3331"/>
            <w:vAlign w:val="center"/>
          </w:tcPr>
          <w:p>
            <w:pPr>
              <w:spacing w:after="40"/>
            </w:pPr>
            <w:r>
              <w:rPr>
                <w:sz w:val="18"/>
              </w:rPr>
              <w:t>2</w:t>
            </w:r>
          </w:p>
        </w:tc>
        <w:tc>
          <w:tcPr>
            <w:tcW w:type="dxa" w:w="3331"/>
            <w:vAlign w:val="center"/>
          </w:tcPr>
          <w:p>
            <w:pPr>
              <w:spacing w:after="40"/>
            </w:pPr>
            <w:r>
              <w:rPr>
                <w:sz w:val="18"/>
              </w:rPr>
              <w:t>internet_service_Fiber optic</w:t>
            </w:r>
          </w:p>
        </w:tc>
        <w:tc>
          <w:tcPr>
            <w:tcW w:type="dxa" w:w="3331"/>
            <w:vAlign w:val="center"/>
          </w:tcPr>
          <w:p>
            <w:pPr>
              <w:spacing w:after="40"/>
            </w:pPr>
            <w:r>
              <w:rPr>
                <w:sz w:val="18"/>
              </w:rPr>
              <w:t>0.0422</w:t>
            </w:r>
          </w:p>
        </w:tc>
      </w:tr>
      <w:tr>
        <w:tc>
          <w:tcPr>
            <w:tcW w:type="dxa" w:w="3331"/>
            <w:vAlign w:val="center"/>
          </w:tcPr>
          <w:p>
            <w:pPr>
              <w:spacing w:after="40"/>
            </w:pPr>
            <w:r>
              <w:rPr>
                <w:sz w:val="18"/>
              </w:rPr>
              <w:t>3</w:t>
            </w:r>
          </w:p>
        </w:tc>
        <w:tc>
          <w:tcPr>
            <w:tcW w:type="dxa" w:w="3331"/>
            <w:vAlign w:val="center"/>
          </w:tcPr>
          <w:p>
            <w:pPr>
              <w:spacing w:after="40"/>
            </w:pPr>
            <w:r>
              <w:rPr>
                <w:sz w:val="18"/>
              </w:rPr>
              <w:t>contract_Month-to-month</w:t>
            </w:r>
          </w:p>
        </w:tc>
        <w:tc>
          <w:tcPr>
            <w:tcW w:type="dxa" w:w="3331"/>
            <w:vAlign w:val="center"/>
          </w:tcPr>
          <w:p>
            <w:pPr>
              <w:spacing w:after="40"/>
            </w:pPr>
            <w:r>
              <w:rPr>
                <w:sz w:val="18"/>
              </w:rPr>
              <w:t>0.0399</w:t>
            </w:r>
          </w:p>
        </w:tc>
      </w:tr>
      <w:tr>
        <w:tc>
          <w:tcPr>
            <w:tcW w:type="dxa" w:w="3331"/>
            <w:vAlign w:val="center"/>
          </w:tcPr>
          <w:p>
            <w:pPr>
              <w:spacing w:after="40"/>
            </w:pPr>
            <w:r>
              <w:rPr>
                <w:sz w:val="18"/>
              </w:rPr>
              <w:t>4</w:t>
            </w:r>
          </w:p>
        </w:tc>
        <w:tc>
          <w:tcPr>
            <w:tcW w:type="dxa" w:w="3331"/>
            <w:vAlign w:val="center"/>
          </w:tcPr>
          <w:p>
            <w:pPr>
              <w:spacing w:after="40"/>
            </w:pPr>
            <w:r>
              <w:rPr>
                <w:sz w:val="18"/>
              </w:rPr>
              <w:t>contract_Two year</w:t>
            </w:r>
          </w:p>
        </w:tc>
        <w:tc>
          <w:tcPr>
            <w:tcW w:type="dxa" w:w="3331"/>
            <w:vAlign w:val="center"/>
          </w:tcPr>
          <w:p>
            <w:pPr>
              <w:spacing w:after="40"/>
            </w:pPr>
            <w:r>
              <w:rPr>
                <w:sz w:val="18"/>
              </w:rPr>
              <w:t>0.0304</w:t>
            </w:r>
          </w:p>
        </w:tc>
      </w:tr>
      <w:tr>
        <w:tc>
          <w:tcPr>
            <w:tcW w:type="dxa" w:w="3331"/>
            <w:vAlign w:val="center"/>
          </w:tcPr>
          <w:p>
            <w:pPr>
              <w:spacing w:after="40"/>
            </w:pPr>
            <w:r>
              <w:rPr>
                <w:sz w:val="18"/>
              </w:rPr>
              <w:t>5</w:t>
            </w:r>
          </w:p>
        </w:tc>
        <w:tc>
          <w:tcPr>
            <w:tcW w:type="dxa" w:w="3331"/>
            <w:vAlign w:val="center"/>
          </w:tcPr>
          <w:p>
            <w:pPr>
              <w:spacing w:after="40"/>
            </w:pPr>
            <w:r>
              <w:rPr>
                <w:sz w:val="18"/>
              </w:rPr>
              <w:t>internet_service_No</w:t>
            </w:r>
          </w:p>
        </w:tc>
        <w:tc>
          <w:tcPr>
            <w:tcW w:type="dxa" w:w="3331"/>
            <w:vAlign w:val="center"/>
          </w:tcPr>
          <w:p>
            <w:pPr>
              <w:spacing w:after="40"/>
            </w:pPr>
            <w:r>
              <w:rPr>
                <w:sz w:val="18"/>
              </w:rPr>
              <w:t>0.0212</w:t>
            </w:r>
          </w:p>
        </w:tc>
      </w:tr>
      <w:tr>
        <w:tc>
          <w:tcPr>
            <w:tcW w:type="dxa" w:w="3331"/>
            <w:vAlign w:val="center"/>
          </w:tcPr>
          <w:p>
            <w:pPr>
              <w:spacing w:after="40"/>
            </w:pPr>
            <w:r>
              <w:rPr>
                <w:sz w:val="18"/>
              </w:rPr>
              <w:t>6</w:t>
            </w:r>
          </w:p>
        </w:tc>
        <w:tc>
          <w:tcPr>
            <w:tcW w:type="dxa" w:w="3331"/>
            <w:vAlign w:val="center"/>
          </w:tcPr>
          <w:p>
            <w:pPr>
              <w:spacing w:after="40"/>
            </w:pPr>
            <w:r>
              <w:rPr>
                <w:sz w:val="18"/>
              </w:rPr>
              <w:t>internet_service_DSL</w:t>
            </w:r>
          </w:p>
        </w:tc>
        <w:tc>
          <w:tcPr>
            <w:tcW w:type="dxa" w:w="3331"/>
            <w:vAlign w:val="center"/>
          </w:tcPr>
          <w:p>
            <w:pPr>
              <w:spacing w:after="40"/>
            </w:pPr>
            <w:r>
              <w:rPr>
                <w:sz w:val="18"/>
              </w:rPr>
              <w:t>0.0125</w:t>
            </w:r>
          </w:p>
        </w:tc>
      </w:tr>
      <w:tr>
        <w:tc>
          <w:tcPr>
            <w:tcW w:type="dxa" w:w="3331"/>
            <w:vAlign w:val="center"/>
          </w:tcPr>
          <w:p>
            <w:pPr>
              <w:spacing w:after="40"/>
            </w:pPr>
            <w:r>
              <w:rPr>
                <w:sz w:val="18"/>
              </w:rPr>
              <w:t>7</w:t>
            </w:r>
          </w:p>
        </w:tc>
        <w:tc>
          <w:tcPr>
            <w:tcW w:type="dxa" w:w="3331"/>
            <w:vAlign w:val="center"/>
          </w:tcPr>
          <w:p>
            <w:pPr>
              <w:spacing w:after="40"/>
            </w:pPr>
            <w:r>
              <w:rPr>
                <w:sz w:val="18"/>
              </w:rPr>
              <w:t>support_tickets</w:t>
            </w:r>
          </w:p>
        </w:tc>
        <w:tc>
          <w:tcPr>
            <w:tcW w:type="dxa" w:w="3331"/>
            <w:vAlign w:val="center"/>
          </w:tcPr>
          <w:p>
            <w:pPr>
              <w:spacing w:after="40"/>
            </w:pPr>
            <w:r>
              <w:rPr>
                <w:sz w:val="18"/>
              </w:rPr>
              <w:t>0.0078</w:t>
            </w:r>
          </w:p>
        </w:tc>
      </w:tr>
      <w:tr>
        <w:tc>
          <w:tcPr>
            <w:tcW w:type="dxa" w:w="3331"/>
            <w:vAlign w:val="center"/>
          </w:tcPr>
          <w:p>
            <w:pPr>
              <w:spacing w:after="40"/>
            </w:pPr>
            <w:r>
              <w:rPr>
                <w:sz w:val="18"/>
              </w:rPr>
              <w:t>8</w:t>
            </w:r>
          </w:p>
        </w:tc>
        <w:tc>
          <w:tcPr>
            <w:tcW w:type="dxa" w:w="3331"/>
            <w:vAlign w:val="center"/>
          </w:tcPr>
          <w:p>
            <w:pPr>
              <w:spacing w:after="40"/>
            </w:pPr>
            <w:r>
              <w:rPr>
                <w:sz w:val="18"/>
              </w:rPr>
              <w:t>contract_One year</w:t>
            </w:r>
          </w:p>
        </w:tc>
        <w:tc>
          <w:tcPr>
            <w:tcW w:type="dxa" w:w="3331"/>
            <w:vAlign w:val="center"/>
          </w:tcPr>
          <w:p>
            <w:pPr>
              <w:spacing w:after="40"/>
            </w:pPr>
            <w:r>
              <w:rPr>
                <w:sz w:val="18"/>
              </w:rPr>
              <w:t>0.0064</w:t>
            </w:r>
          </w:p>
        </w:tc>
      </w:tr>
      <w:tr>
        <w:tc>
          <w:tcPr>
            <w:tcW w:type="dxa" w:w="3331"/>
            <w:vAlign w:val="center"/>
          </w:tcPr>
          <w:p>
            <w:pPr>
              <w:spacing w:after="40"/>
            </w:pPr>
            <w:r>
              <w:rPr>
                <w:sz w:val="18"/>
              </w:rPr>
              <w:t>9</w:t>
            </w:r>
          </w:p>
        </w:tc>
        <w:tc>
          <w:tcPr>
            <w:tcW w:type="dxa" w:w="3331"/>
            <w:vAlign w:val="center"/>
          </w:tcPr>
          <w:p>
            <w:pPr>
              <w:spacing w:after="40"/>
            </w:pPr>
            <w:r>
              <w:rPr>
                <w:sz w:val="18"/>
              </w:rPr>
              <w:t>senior_citizen</w:t>
            </w:r>
          </w:p>
        </w:tc>
        <w:tc>
          <w:tcPr>
            <w:tcW w:type="dxa" w:w="3331"/>
            <w:vAlign w:val="center"/>
          </w:tcPr>
          <w:p>
            <w:pPr>
              <w:spacing w:after="40"/>
            </w:pPr>
            <w:r>
              <w:rPr>
                <w:sz w:val="18"/>
              </w:rPr>
              <w:t>0.0055</w:t>
            </w:r>
          </w:p>
        </w:tc>
      </w:tr>
      <w:tr>
        <w:tc>
          <w:tcPr>
            <w:tcW w:type="dxa" w:w="3331"/>
            <w:vAlign w:val="center"/>
          </w:tcPr>
          <w:p>
            <w:pPr>
              <w:spacing w:after="40"/>
            </w:pPr>
            <w:r>
              <w:rPr>
                <w:sz w:val="18"/>
              </w:rPr>
              <w:t>10</w:t>
            </w:r>
          </w:p>
        </w:tc>
        <w:tc>
          <w:tcPr>
            <w:tcW w:type="dxa" w:w="3331"/>
            <w:vAlign w:val="center"/>
          </w:tcPr>
          <w:p>
            <w:pPr>
              <w:spacing w:after="40"/>
            </w:pPr>
            <w:r>
              <w:rPr>
                <w:sz w:val="18"/>
              </w:rPr>
              <w:t>missingindicator_monthly_charges</w:t>
            </w:r>
          </w:p>
        </w:tc>
        <w:tc>
          <w:tcPr>
            <w:tcW w:type="dxa" w:w="3331"/>
            <w:vAlign w:val="center"/>
          </w:tcPr>
          <w:p>
            <w:pPr>
              <w:spacing w:after="40"/>
            </w:pPr>
            <w:r>
              <w:rPr>
                <w:sz w:val="18"/>
              </w:rPr>
              <w:t>0.0039</w:t>
            </w:r>
          </w:p>
        </w:tc>
      </w:tr>
    </w:tbl>
    <w:p>
      <w:pPr>
        <w:spacing w:after="20"/>
      </w:pPr>
    </w:p>
    <w:p>
      <w:pPr>
        <w:pStyle w:val="Heading1"/>
      </w:pPr>
      <w:r>
        <w:t>Files produced</w:t>
      </w:r>
    </w:p>
    <w:p>
      <w:pPr>
        <w:pStyle w:val="ListBullet"/>
        <w:spacing w:after="60"/>
      </w:pPr>
      <w:r>
        <w:t>outputs/missing_value_audit.csv — raw counts, percentages, and dtypes.</w:t>
      </w:r>
    </w:p>
    <w:p>
      <w:pPr>
        <w:pStyle w:val="ListBullet"/>
        <w:spacing w:after="60"/>
      </w:pPr>
      <w:r>
        <w:t>outputs/preprocessed_customer_churn.csv — complete imputed, scaled, encoded demonstration table.</w:t>
      </w:r>
    </w:p>
    <w:p>
      <w:pPr>
        <w:pStyle w:val="ListBullet"/>
        <w:spacing w:after="60"/>
      </w:pPr>
      <w:r>
        <w:t>outputs/selected_feature_dataset.csv and outputs/feature_selection.csv — top-feature export and ranking.</w:t>
      </w:r>
    </w:p>
    <w:p>
      <w:pPr>
        <w:pStyle w:val="ListBullet"/>
        <w:spacing w:after="60"/>
      </w:pPr>
      <w:r>
        <w:t>outputs/plots/ — missingness, target balance, and contract/churn visualizations.</w:t>
      </w:r>
    </w:p>
    <w:p>
      <w:pPr>
        <w:pStyle w:val="Heading1"/>
      </w:pPr>
      <w:r>
        <w:t>Limitations</w:t>
      </w:r>
    </w:p>
    <w:p>
      <w:r>
        <w:t>The dataset is synthetic by design. Median/mode imputation and mutual-information ranking are baseline teaching choices; a real project would validate assumptions, consider missingness mechanisms and fairness, and select features using training data only.</w:t>
      </w:r>
    </w:p>
    <w:p>
      <w:pPr>
        <w:pStyle w:val="Heading1"/>
      </w:pPr>
      <w:r>
        <w:t>Submission description (215 words)</w:t>
      </w:r>
    </w:p>
    <w:p>
      <w:r>
        <w:t>This Week 1 report documents a complete Python-based data-preparation workflow using Pandas, NumPy, and scikit-learn. The example is a reproducible synthetic customer-churn dataset containing 1,800 rows, numeric and categorical input fields, a binary churn label, and deliberately introduced missing values. The report begins by describing the dataset structure, data types, label balance, duplicate checks, and missing-value audit. It then presents exploratory plots and explains why the customer identifier is not used as a model feature. Numeric gaps are filled with median estimates and categorical gaps with most-frequent values; missingness indicators are retained for numeric fields. Categorical variables are one-hot encoded with support for unseen categories, while numeric inputs are standardized. The churn target is mapped from No and Yes to zero and one. Mutual information is used to rank the encoded features, and both the complete transformed table and a top-ten-feature export are included as reproducible artifacts. The report distinguishes these all-row teaching exports from model evaluation: later training and cross-validation pipelines learn imputation and scaling only from their training folds to prevent leakage. Finally, it records the limitations of generated data and points to the scripts, audit tables, and visualizations needed to repeat the work. Companion notes introduce Python variables, functions, NumPy arrays, Pandas tables, model metrics, and leakage concepts in beginner-friendly language.</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Educational capstone • Synthetic customer-churn data • Local reproducible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237A7A"/>
        <w:sz w:val="16"/>
      </w:rPr>
      <w:t>YUVA INTERNSHIP  |  PYTHON &amp; MACHINE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934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7A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