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Aptos Display" w:hAnsi="Aptos Display"/>
          <w:b/>
          <w:color w:val="17324D"/>
          <w:sz w:val="50"/>
        </w:rPr>
        <w:t>Week 3 — Unsupervised Learning &amp; Evaluation</w:t>
      </w:r>
    </w:p>
    <w:p>
      <w:pPr>
        <w:spacing w:after="280"/>
        <w:jc w:val="center"/>
      </w:pPr>
      <w:r>
        <w:rPr>
          <w:color w:val="237A7A"/>
          <w:sz w:val="24"/>
        </w:rPr>
        <w:t>Clustering • PCA • cross-validation • model evaluation</w:t>
      </w:r>
    </w:p>
    <w:p>
      <w:pPr>
        <w:spacing w:after="400"/>
        <w:jc w:val="center"/>
      </w:pPr>
      <w:r>
        <w:rPr>
          <w:b/>
          <w:color w:val="646E78"/>
          <w:sz w:val="18"/>
        </w:rPr>
        <w:t>COMPLETED PROJECT REPORT  •  Yuva Internship</w:t>
      </w:r>
    </w:p>
    <w:p>
      <w:pPr>
        <w:spacing w:after="280"/>
        <w:jc w:val="center"/>
      </w:pPr>
      <w:r>
        <w:rPr>
          <w:color w:val="237A7A"/>
          <w:sz w:val="16"/>
        </w:rPr>
        <w:t>Project repository: https://github.com/Dhanam33/Yuva_intern/tree/arena/01a1004b-yuva-intern</w:t>
      </w:r>
    </w:p>
    <w:p>
      <w:pPr>
        <w:pStyle w:val="Heading1"/>
      </w:pPr>
      <w:r>
        <w:t>Executive summary</w:t>
      </w:r>
    </w:p>
    <w:p>
      <w:r>
        <w:t>This report evaluates K-Means and Agglomerative clustering, uses PCA for visualization, and tunes a supervised Logistic Regression model with stratified cross-validation. Clustering excludes the churn target; evaluation metrics use a separate held-out split.</w:t>
      </w:r>
    </w:p>
    <w:p>
      <w:pPr>
        <w:pStyle w:val="Heading1"/>
      </w:pPr>
      <w:r>
        <w:t>Clustering experiments</w:t>
      </w:r>
    </w:p>
    <w:p>
      <w:r>
        <w:t>Numeric and categorical features are imputed, scaled, and encoded before clustering. For each algorithm, candidate values k=2 through k=6 are scored with the silhouette coefficient on a seeded sample of 1,000 rows. The best score in this run is Agglomerative Clustering with k=4 (silhouette 0.355).</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17324D"/>
          </w:tcPr>
          <w:p>
            <w:r>
              <w:rPr>
                <w:b/>
                <w:color w:val="FFFFFF"/>
                <w:sz w:val="18"/>
              </w:rPr>
              <w:t>Algorithm</w:t>
            </w:r>
          </w:p>
        </w:tc>
        <w:tc>
          <w:tcPr>
            <w:tcW w:type="dxa" w:w="2498"/>
            <w:vAlign w:val="center"/>
            <w:shd w:fill="17324D"/>
          </w:tcPr>
          <w:p>
            <w:r>
              <w:rPr>
                <w:b/>
                <w:color w:val="FFFFFF"/>
                <w:sz w:val="18"/>
              </w:rPr>
              <w:t>k</w:t>
            </w:r>
          </w:p>
        </w:tc>
        <w:tc>
          <w:tcPr>
            <w:tcW w:type="dxa" w:w="2498"/>
            <w:vAlign w:val="center"/>
            <w:shd w:fill="17324D"/>
          </w:tcPr>
          <w:p>
            <w:r>
              <w:rPr>
                <w:b/>
                <w:color w:val="FFFFFF"/>
                <w:sz w:val="18"/>
              </w:rPr>
              <w:t>Silhouette</w:t>
            </w:r>
          </w:p>
        </w:tc>
        <w:tc>
          <w:tcPr>
            <w:tcW w:type="dxa" w:w="2498"/>
            <w:vAlign w:val="center"/>
            <w:shd w:fill="17324D"/>
          </w:tcPr>
          <w:p>
            <w:r>
              <w:rPr>
                <w:b/>
                <w:color w:val="FFFFFF"/>
                <w:sz w:val="18"/>
              </w:rPr>
              <w:t>Sampled rows</w:t>
            </w:r>
          </w:p>
        </w:tc>
      </w:tr>
      <w:tr>
        <w:tc>
          <w:tcPr>
            <w:tcW w:type="dxa" w:w="2498"/>
            <w:vAlign w:val="center"/>
          </w:tcPr>
          <w:p>
            <w:pPr>
              <w:spacing w:after="40"/>
            </w:pPr>
            <w:r>
              <w:rPr>
                <w:sz w:val="18"/>
              </w:rPr>
              <w:t>Agglomerative</w:t>
            </w:r>
          </w:p>
        </w:tc>
        <w:tc>
          <w:tcPr>
            <w:tcW w:type="dxa" w:w="2498"/>
            <w:vAlign w:val="center"/>
          </w:tcPr>
          <w:p>
            <w:pPr>
              <w:spacing w:after="40"/>
            </w:pPr>
            <w:r>
              <w:rPr>
                <w:sz w:val="18"/>
              </w:rPr>
              <w:t>4</w:t>
            </w:r>
          </w:p>
        </w:tc>
        <w:tc>
          <w:tcPr>
            <w:tcW w:type="dxa" w:w="2498"/>
            <w:vAlign w:val="center"/>
          </w:tcPr>
          <w:p>
            <w:pPr>
              <w:spacing w:after="40"/>
            </w:pPr>
            <w:r>
              <w:rPr>
                <w:sz w:val="18"/>
              </w:rPr>
              <w:t>0.355</w:t>
            </w:r>
          </w:p>
        </w:tc>
        <w:tc>
          <w:tcPr>
            <w:tcW w:type="dxa" w:w="2498"/>
            <w:vAlign w:val="center"/>
          </w:tcPr>
          <w:p>
            <w:pPr>
              <w:spacing w:after="40"/>
            </w:pPr>
            <w:r>
              <w:rPr>
                <w:sz w:val="18"/>
              </w:rPr>
              <w:t>1000</w:t>
            </w:r>
          </w:p>
        </w:tc>
      </w:tr>
      <w:tr>
        <w:tc>
          <w:tcPr>
            <w:tcW w:type="dxa" w:w="2498"/>
            <w:vAlign w:val="center"/>
          </w:tcPr>
          <w:p>
            <w:pPr>
              <w:spacing w:after="40"/>
            </w:pPr>
            <w:r>
              <w:rPr>
                <w:sz w:val="18"/>
              </w:rPr>
              <w:t>Agglomerative</w:t>
            </w:r>
          </w:p>
        </w:tc>
        <w:tc>
          <w:tcPr>
            <w:tcW w:type="dxa" w:w="2498"/>
            <w:vAlign w:val="center"/>
          </w:tcPr>
          <w:p>
            <w:pPr>
              <w:spacing w:after="40"/>
            </w:pPr>
            <w:r>
              <w:rPr>
                <w:sz w:val="18"/>
              </w:rPr>
              <w:t>5</w:t>
            </w:r>
          </w:p>
        </w:tc>
        <w:tc>
          <w:tcPr>
            <w:tcW w:type="dxa" w:w="2498"/>
            <w:vAlign w:val="center"/>
          </w:tcPr>
          <w:p>
            <w:pPr>
              <w:spacing w:after="40"/>
            </w:pPr>
            <w:r>
              <w:rPr>
                <w:sz w:val="18"/>
              </w:rPr>
              <w:t>0.350</w:t>
            </w:r>
          </w:p>
        </w:tc>
        <w:tc>
          <w:tcPr>
            <w:tcW w:type="dxa" w:w="2498"/>
            <w:vAlign w:val="center"/>
          </w:tcPr>
          <w:p>
            <w:pPr>
              <w:spacing w:after="40"/>
            </w:pPr>
            <w:r>
              <w:rPr>
                <w:sz w:val="18"/>
              </w:rPr>
              <w:t>1000</w:t>
            </w:r>
          </w:p>
        </w:tc>
      </w:tr>
      <w:tr>
        <w:tc>
          <w:tcPr>
            <w:tcW w:type="dxa" w:w="2498"/>
            <w:vAlign w:val="center"/>
          </w:tcPr>
          <w:p>
            <w:pPr>
              <w:spacing w:after="40"/>
            </w:pPr>
            <w:r>
              <w:rPr>
                <w:sz w:val="18"/>
              </w:rPr>
              <w:t>Agglomerative</w:t>
            </w:r>
          </w:p>
        </w:tc>
        <w:tc>
          <w:tcPr>
            <w:tcW w:type="dxa" w:w="2498"/>
            <w:vAlign w:val="center"/>
          </w:tcPr>
          <w:p>
            <w:pPr>
              <w:spacing w:after="40"/>
            </w:pPr>
            <w:r>
              <w:rPr>
                <w:sz w:val="18"/>
              </w:rPr>
              <w:t>3</w:t>
            </w:r>
          </w:p>
        </w:tc>
        <w:tc>
          <w:tcPr>
            <w:tcW w:type="dxa" w:w="2498"/>
            <w:vAlign w:val="center"/>
          </w:tcPr>
          <w:p>
            <w:pPr>
              <w:spacing w:after="40"/>
            </w:pPr>
            <w:r>
              <w:rPr>
                <w:sz w:val="18"/>
              </w:rPr>
              <w:t>0.346</w:t>
            </w:r>
          </w:p>
        </w:tc>
        <w:tc>
          <w:tcPr>
            <w:tcW w:type="dxa" w:w="2498"/>
            <w:vAlign w:val="center"/>
          </w:tcPr>
          <w:p>
            <w:pPr>
              <w:spacing w:after="40"/>
            </w:pPr>
            <w:r>
              <w:rPr>
                <w:sz w:val="18"/>
              </w:rPr>
              <w:t>1000</w:t>
            </w:r>
          </w:p>
        </w:tc>
      </w:tr>
      <w:tr>
        <w:tc>
          <w:tcPr>
            <w:tcW w:type="dxa" w:w="2498"/>
            <w:vAlign w:val="center"/>
          </w:tcPr>
          <w:p>
            <w:pPr>
              <w:spacing w:after="40"/>
            </w:pPr>
            <w:r>
              <w:rPr>
                <w:sz w:val="18"/>
              </w:rPr>
              <w:t>Agglomerative</w:t>
            </w:r>
          </w:p>
        </w:tc>
        <w:tc>
          <w:tcPr>
            <w:tcW w:type="dxa" w:w="2498"/>
            <w:vAlign w:val="center"/>
          </w:tcPr>
          <w:p>
            <w:pPr>
              <w:spacing w:after="40"/>
            </w:pPr>
            <w:r>
              <w:rPr>
                <w:sz w:val="18"/>
              </w:rPr>
              <w:t>2</w:t>
            </w:r>
          </w:p>
        </w:tc>
        <w:tc>
          <w:tcPr>
            <w:tcW w:type="dxa" w:w="2498"/>
            <w:vAlign w:val="center"/>
          </w:tcPr>
          <w:p>
            <w:pPr>
              <w:spacing w:after="40"/>
            </w:pPr>
            <w:r>
              <w:rPr>
                <w:sz w:val="18"/>
              </w:rPr>
              <w:t>0.333</w:t>
            </w:r>
          </w:p>
        </w:tc>
        <w:tc>
          <w:tcPr>
            <w:tcW w:type="dxa" w:w="2498"/>
            <w:vAlign w:val="center"/>
          </w:tcPr>
          <w:p>
            <w:pPr>
              <w:spacing w:after="40"/>
            </w:pPr>
            <w:r>
              <w:rPr>
                <w:sz w:val="18"/>
              </w:rPr>
              <w:t>1000</w:t>
            </w:r>
          </w:p>
        </w:tc>
      </w:tr>
      <w:tr>
        <w:tc>
          <w:tcPr>
            <w:tcW w:type="dxa" w:w="2498"/>
            <w:vAlign w:val="center"/>
          </w:tcPr>
          <w:p>
            <w:pPr>
              <w:spacing w:after="40"/>
            </w:pPr>
            <w:r>
              <w:rPr>
                <w:sz w:val="18"/>
              </w:rPr>
              <w:t>K-Means</w:t>
            </w:r>
          </w:p>
        </w:tc>
        <w:tc>
          <w:tcPr>
            <w:tcW w:type="dxa" w:w="2498"/>
            <w:vAlign w:val="center"/>
          </w:tcPr>
          <w:p>
            <w:pPr>
              <w:spacing w:after="40"/>
            </w:pPr>
            <w:r>
              <w:rPr>
                <w:sz w:val="18"/>
              </w:rPr>
              <w:t>5</w:t>
            </w:r>
          </w:p>
        </w:tc>
        <w:tc>
          <w:tcPr>
            <w:tcW w:type="dxa" w:w="2498"/>
            <w:vAlign w:val="center"/>
          </w:tcPr>
          <w:p>
            <w:pPr>
              <w:spacing w:after="40"/>
            </w:pPr>
            <w:r>
              <w:rPr>
                <w:sz w:val="18"/>
              </w:rPr>
              <w:t>0.175</w:t>
            </w:r>
          </w:p>
        </w:tc>
        <w:tc>
          <w:tcPr>
            <w:tcW w:type="dxa" w:w="2498"/>
            <w:vAlign w:val="center"/>
          </w:tcPr>
          <w:p>
            <w:pPr>
              <w:spacing w:after="40"/>
            </w:pPr>
            <w:r>
              <w:rPr>
                <w:sz w:val="18"/>
              </w:rPr>
              <w:t>1000</w:t>
            </w:r>
          </w:p>
        </w:tc>
      </w:tr>
      <w:tr>
        <w:tc>
          <w:tcPr>
            <w:tcW w:type="dxa" w:w="2498"/>
            <w:vAlign w:val="center"/>
          </w:tcPr>
          <w:p>
            <w:pPr>
              <w:spacing w:after="40"/>
            </w:pPr>
            <w:r>
              <w:rPr>
                <w:sz w:val="18"/>
              </w:rPr>
              <w:t>K-Means</w:t>
            </w:r>
          </w:p>
        </w:tc>
        <w:tc>
          <w:tcPr>
            <w:tcW w:type="dxa" w:w="2498"/>
            <w:vAlign w:val="center"/>
          </w:tcPr>
          <w:p>
            <w:pPr>
              <w:spacing w:after="40"/>
            </w:pPr>
            <w:r>
              <w:rPr>
                <w:sz w:val="18"/>
              </w:rPr>
              <w:t>6</w:t>
            </w:r>
          </w:p>
        </w:tc>
        <w:tc>
          <w:tcPr>
            <w:tcW w:type="dxa" w:w="2498"/>
            <w:vAlign w:val="center"/>
          </w:tcPr>
          <w:p>
            <w:pPr>
              <w:spacing w:after="40"/>
            </w:pPr>
            <w:r>
              <w:rPr>
                <w:sz w:val="18"/>
              </w:rPr>
              <w:t>0.168</w:t>
            </w:r>
          </w:p>
        </w:tc>
        <w:tc>
          <w:tcPr>
            <w:tcW w:type="dxa" w:w="2498"/>
            <w:vAlign w:val="center"/>
          </w:tcPr>
          <w:p>
            <w:pPr>
              <w:spacing w:after="40"/>
            </w:pPr>
            <w:r>
              <w:rPr>
                <w:sz w:val="18"/>
              </w:rPr>
              <w:t>1000</w:t>
            </w:r>
          </w:p>
        </w:tc>
      </w:tr>
      <w:tr>
        <w:tc>
          <w:tcPr>
            <w:tcW w:type="dxa" w:w="2498"/>
            <w:vAlign w:val="center"/>
          </w:tcPr>
          <w:p>
            <w:pPr>
              <w:spacing w:after="40"/>
            </w:pPr>
            <w:r>
              <w:rPr>
                <w:sz w:val="18"/>
              </w:rPr>
              <w:t>Agglomerative</w:t>
            </w:r>
          </w:p>
        </w:tc>
        <w:tc>
          <w:tcPr>
            <w:tcW w:type="dxa" w:w="2498"/>
            <w:vAlign w:val="center"/>
          </w:tcPr>
          <w:p>
            <w:pPr>
              <w:spacing w:after="40"/>
            </w:pPr>
            <w:r>
              <w:rPr>
                <w:sz w:val="18"/>
              </w:rPr>
              <w:t>6</w:t>
            </w:r>
          </w:p>
        </w:tc>
        <w:tc>
          <w:tcPr>
            <w:tcW w:type="dxa" w:w="2498"/>
            <w:vAlign w:val="center"/>
          </w:tcPr>
          <w:p>
            <w:pPr>
              <w:spacing w:after="40"/>
            </w:pPr>
            <w:r>
              <w:rPr>
                <w:sz w:val="18"/>
              </w:rPr>
              <w:t>0.157</w:t>
            </w:r>
          </w:p>
        </w:tc>
        <w:tc>
          <w:tcPr>
            <w:tcW w:type="dxa" w:w="2498"/>
            <w:vAlign w:val="center"/>
          </w:tcPr>
          <w:p>
            <w:pPr>
              <w:spacing w:after="40"/>
            </w:pPr>
            <w:r>
              <w:rPr>
                <w:sz w:val="18"/>
              </w:rPr>
              <w:t>1000</w:t>
            </w:r>
          </w:p>
        </w:tc>
      </w:tr>
      <w:tr>
        <w:tc>
          <w:tcPr>
            <w:tcW w:type="dxa" w:w="2498"/>
            <w:vAlign w:val="center"/>
          </w:tcPr>
          <w:p>
            <w:pPr>
              <w:spacing w:after="40"/>
            </w:pPr>
            <w:r>
              <w:rPr>
                <w:sz w:val="18"/>
              </w:rPr>
              <w:t>K-Means</w:t>
            </w:r>
          </w:p>
        </w:tc>
        <w:tc>
          <w:tcPr>
            <w:tcW w:type="dxa" w:w="2498"/>
            <w:vAlign w:val="center"/>
          </w:tcPr>
          <w:p>
            <w:pPr>
              <w:spacing w:after="40"/>
            </w:pPr>
            <w:r>
              <w:rPr>
                <w:sz w:val="18"/>
              </w:rPr>
              <w:t>4</w:t>
            </w:r>
          </w:p>
        </w:tc>
        <w:tc>
          <w:tcPr>
            <w:tcW w:type="dxa" w:w="2498"/>
            <w:vAlign w:val="center"/>
          </w:tcPr>
          <w:p>
            <w:pPr>
              <w:spacing w:after="40"/>
            </w:pPr>
            <w:r>
              <w:rPr>
                <w:sz w:val="18"/>
              </w:rPr>
              <w:t>0.157</w:t>
            </w:r>
          </w:p>
        </w:tc>
        <w:tc>
          <w:tcPr>
            <w:tcW w:type="dxa" w:w="2498"/>
            <w:vAlign w:val="center"/>
          </w:tcPr>
          <w:p>
            <w:pPr>
              <w:spacing w:after="40"/>
            </w:pPr>
            <w:r>
              <w:rPr>
                <w:sz w:val="18"/>
              </w:rPr>
              <w:t>1000</w:t>
            </w:r>
          </w:p>
        </w:tc>
      </w:tr>
      <w:tr>
        <w:tc>
          <w:tcPr>
            <w:tcW w:type="dxa" w:w="2498"/>
            <w:vAlign w:val="center"/>
          </w:tcPr>
          <w:p>
            <w:pPr>
              <w:spacing w:after="40"/>
            </w:pPr>
            <w:r>
              <w:rPr>
                <w:sz w:val="18"/>
              </w:rPr>
              <w:t>K-Means</w:t>
            </w:r>
          </w:p>
        </w:tc>
        <w:tc>
          <w:tcPr>
            <w:tcW w:type="dxa" w:w="2498"/>
            <w:vAlign w:val="center"/>
          </w:tcPr>
          <w:p>
            <w:pPr>
              <w:spacing w:after="40"/>
            </w:pPr>
            <w:r>
              <w:rPr>
                <w:sz w:val="18"/>
              </w:rPr>
              <w:t>3</w:t>
            </w:r>
          </w:p>
        </w:tc>
        <w:tc>
          <w:tcPr>
            <w:tcW w:type="dxa" w:w="2498"/>
            <w:vAlign w:val="center"/>
          </w:tcPr>
          <w:p>
            <w:pPr>
              <w:spacing w:after="40"/>
            </w:pPr>
            <w:r>
              <w:rPr>
                <w:sz w:val="18"/>
              </w:rPr>
              <w:t>0.140</w:t>
            </w:r>
          </w:p>
        </w:tc>
        <w:tc>
          <w:tcPr>
            <w:tcW w:type="dxa" w:w="2498"/>
            <w:vAlign w:val="center"/>
          </w:tcPr>
          <w:p>
            <w:pPr>
              <w:spacing w:after="40"/>
            </w:pPr>
            <w:r>
              <w:rPr>
                <w:sz w:val="18"/>
              </w:rPr>
              <w:t>1000</w:t>
            </w:r>
          </w:p>
        </w:tc>
      </w:tr>
      <w:tr>
        <w:tc>
          <w:tcPr>
            <w:tcW w:type="dxa" w:w="2498"/>
            <w:vAlign w:val="center"/>
          </w:tcPr>
          <w:p>
            <w:pPr>
              <w:spacing w:after="40"/>
            </w:pPr>
            <w:r>
              <w:rPr>
                <w:sz w:val="18"/>
              </w:rPr>
              <w:t>K-Means</w:t>
            </w:r>
          </w:p>
        </w:tc>
        <w:tc>
          <w:tcPr>
            <w:tcW w:type="dxa" w:w="2498"/>
            <w:vAlign w:val="center"/>
          </w:tcPr>
          <w:p>
            <w:pPr>
              <w:spacing w:after="40"/>
            </w:pPr>
            <w:r>
              <w:rPr>
                <w:sz w:val="18"/>
              </w:rPr>
              <w:t>2</w:t>
            </w:r>
          </w:p>
        </w:tc>
        <w:tc>
          <w:tcPr>
            <w:tcW w:type="dxa" w:w="2498"/>
            <w:vAlign w:val="center"/>
          </w:tcPr>
          <w:p>
            <w:pPr>
              <w:spacing w:after="40"/>
            </w:pPr>
            <w:r>
              <w:rPr>
                <w:sz w:val="18"/>
              </w:rPr>
              <w:t>0.120</w:t>
            </w:r>
          </w:p>
        </w:tc>
        <w:tc>
          <w:tcPr>
            <w:tcW w:type="dxa" w:w="2498"/>
            <w:vAlign w:val="center"/>
          </w:tcPr>
          <w:p>
            <w:pPr>
              <w:spacing w:after="40"/>
            </w:pPr>
            <w:r>
              <w:rPr>
                <w:sz w:val="18"/>
              </w:rPr>
              <w:t>1000</w:t>
            </w:r>
          </w:p>
        </w:tc>
      </w:tr>
    </w:tbl>
    <w:p>
      <w:pPr>
        <w:spacing w:after="20"/>
      </w:pPr>
    </w:p>
    <w:p>
      <w:pPr>
        <w:jc w:val="center"/>
      </w:pPr>
      <w:r>
        <w:drawing>
          <wp:inline xmlns:a="http://schemas.openxmlformats.org/drawingml/2006/main" xmlns:pic="http://schemas.openxmlformats.org/drawingml/2006/picture">
            <wp:extent cx="5212080" cy="3860800"/>
            <wp:docPr id="1" name="Picture 1"/>
            <wp:cNvGraphicFramePr>
              <a:graphicFrameLocks noChangeAspect="1"/>
            </wp:cNvGraphicFramePr>
            <a:graphic>
              <a:graphicData uri="http://schemas.openxmlformats.org/drawingml/2006/picture">
                <pic:pic>
                  <pic:nvPicPr>
                    <pic:cNvPr id="0" name="pca_cluster_view.png"/>
                    <pic:cNvPicPr/>
                  </pic:nvPicPr>
                  <pic:blipFill>
                    <a:blip r:embed="rId11"/>
                    <a:stretch>
                      <a:fillRect/>
                    </a:stretch>
                  </pic:blipFill>
                  <pic:spPr>
                    <a:xfrm>
                      <a:off x="0" y="0"/>
                      <a:ext cx="5212080" cy="3860800"/>
                    </a:xfrm>
                    <a:prstGeom prst="rect"/>
                  </pic:spPr>
                </pic:pic>
              </a:graphicData>
            </a:graphic>
          </wp:inline>
        </w:drawing>
      </w:r>
    </w:p>
    <w:p>
      <w:pPr>
        <w:jc w:val="center"/>
      </w:pPr>
      <w:r>
        <w:rPr>
          <w:i/>
          <w:color w:val="5A6978"/>
          <w:sz w:val="16"/>
        </w:rPr>
        <w:t>Figure 1. PCA projection colored by the highest-silhouette clustering labels; clustering used the complete encoded feature space.</w:t>
      </w:r>
    </w:p>
    <w:p>
      <w:r>
        <w:t>The first two principal components explain 26.6% of the variance in transformed features. PCA is used only to display a high-dimensional dataset in two dimensions; clustering itself uses all transformed features.</w:t>
      </w:r>
    </w:p>
    <w:p>
      <w:pPr>
        <w:pStyle w:val="Heading2"/>
      </w:pPr>
      <w:r>
        <w:t>Cluster composition and caution</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17324D"/>
          </w:tcPr>
          <w:p>
            <w:r>
              <w:rPr>
                <w:b/>
                <w:color w:val="FFFFFF"/>
                <w:sz w:val="18"/>
              </w:rPr>
              <w:t>Cluster</w:t>
            </w:r>
          </w:p>
        </w:tc>
        <w:tc>
          <w:tcPr>
            <w:tcW w:type="dxa" w:w="2498"/>
            <w:vAlign w:val="center"/>
            <w:shd w:fill="17324D"/>
          </w:tcPr>
          <w:p>
            <w:r>
              <w:rPr>
                <w:b/>
                <w:color w:val="FFFFFF"/>
                <w:sz w:val="18"/>
              </w:rPr>
              <w:t>Customers</w:t>
            </w:r>
          </w:p>
        </w:tc>
        <w:tc>
          <w:tcPr>
            <w:tcW w:type="dxa" w:w="2498"/>
            <w:vAlign w:val="center"/>
            <w:shd w:fill="17324D"/>
          </w:tcPr>
          <w:p>
            <w:r>
              <w:rPr>
                <w:b/>
                <w:color w:val="FFFFFF"/>
                <w:sz w:val="18"/>
              </w:rPr>
              <w:t>Churn count</w:t>
            </w:r>
          </w:p>
        </w:tc>
        <w:tc>
          <w:tcPr>
            <w:tcW w:type="dxa" w:w="2498"/>
            <w:vAlign w:val="center"/>
            <w:shd w:fill="17324D"/>
          </w:tcPr>
          <w:p>
            <w:r>
              <w:rPr>
                <w:b/>
                <w:color w:val="FFFFFF"/>
                <w:sz w:val="18"/>
              </w:rPr>
              <w:t>Churn rate</w:t>
            </w:r>
          </w:p>
        </w:tc>
      </w:tr>
      <w:tr>
        <w:tc>
          <w:tcPr>
            <w:tcW w:type="dxa" w:w="2498"/>
            <w:vAlign w:val="center"/>
          </w:tcPr>
          <w:p>
            <w:pPr>
              <w:spacing w:after="40"/>
            </w:pPr>
            <w:r>
              <w:rPr>
                <w:sz w:val="18"/>
              </w:rPr>
              <w:t>0</w:t>
            </w:r>
          </w:p>
        </w:tc>
        <w:tc>
          <w:tcPr>
            <w:tcW w:type="dxa" w:w="2498"/>
            <w:vAlign w:val="center"/>
          </w:tcPr>
          <w:p>
            <w:pPr>
              <w:spacing w:after="40"/>
            </w:pPr>
            <w:r>
              <w:rPr>
                <w:sz w:val="18"/>
              </w:rPr>
              <w:t>1579</w:t>
            </w:r>
          </w:p>
        </w:tc>
        <w:tc>
          <w:tcPr>
            <w:tcW w:type="dxa" w:w="2498"/>
            <w:vAlign w:val="center"/>
          </w:tcPr>
          <w:p>
            <w:pPr>
              <w:spacing w:after="40"/>
            </w:pPr>
            <w:r>
              <w:rPr>
                <w:sz w:val="18"/>
              </w:rPr>
              <w:t>421</w:t>
            </w:r>
          </w:p>
        </w:tc>
        <w:tc>
          <w:tcPr>
            <w:tcW w:type="dxa" w:w="2498"/>
            <w:vAlign w:val="center"/>
          </w:tcPr>
          <w:p>
            <w:pPr>
              <w:spacing w:after="40"/>
            </w:pPr>
            <w:r>
              <w:rPr>
                <w:sz w:val="18"/>
              </w:rPr>
              <w:t>26.7%</w:t>
            </w:r>
          </w:p>
        </w:tc>
      </w:tr>
      <w:tr>
        <w:tc>
          <w:tcPr>
            <w:tcW w:type="dxa" w:w="2498"/>
            <w:vAlign w:val="center"/>
          </w:tcPr>
          <w:p>
            <w:pPr>
              <w:spacing w:after="40"/>
            </w:pPr>
            <w:r>
              <w:rPr>
                <w:sz w:val="18"/>
              </w:rPr>
              <w:t>1</w:t>
            </w:r>
          </w:p>
        </w:tc>
        <w:tc>
          <w:tcPr>
            <w:tcW w:type="dxa" w:w="2498"/>
            <w:vAlign w:val="center"/>
          </w:tcPr>
          <w:p>
            <w:pPr>
              <w:spacing w:after="40"/>
            </w:pPr>
            <w:r>
              <w:rPr>
                <w:sz w:val="18"/>
              </w:rPr>
              <w:t>74</w:t>
            </w:r>
          </w:p>
        </w:tc>
        <w:tc>
          <w:tcPr>
            <w:tcW w:type="dxa" w:w="2498"/>
            <w:vAlign w:val="center"/>
          </w:tcPr>
          <w:p>
            <w:pPr>
              <w:spacing w:after="40"/>
            </w:pPr>
            <w:r>
              <w:rPr>
                <w:sz w:val="18"/>
              </w:rPr>
              <w:t>22</w:t>
            </w:r>
          </w:p>
        </w:tc>
        <w:tc>
          <w:tcPr>
            <w:tcW w:type="dxa" w:w="2498"/>
            <w:vAlign w:val="center"/>
          </w:tcPr>
          <w:p>
            <w:pPr>
              <w:spacing w:after="40"/>
            </w:pPr>
            <w:r>
              <w:rPr>
                <w:sz w:val="18"/>
              </w:rPr>
              <w:t>29.7%</w:t>
            </w:r>
          </w:p>
        </w:tc>
      </w:tr>
      <w:tr>
        <w:tc>
          <w:tcPr>
            <w:tcW w:type="dxa" w:w="2498"/>
            <w:vAlign w:val="center"/>
          </w:tcPr>
          <w:p>
            <w:pPr>
              <w:spacing w:after="40"/>
            </w:pPr>
            <w:r>
              <w:rPr>
                <w:sz w:val="18"/>
              </w:rPr>
              <w:t>2</w:t>
            </w:r>
          </w:p>
        </w:tc>
        <w:tc>
          <w:tcPr>
            <w:tcW w:type="dxa" w:w="2498"/>
            <w:vAlign w:val="center"/>
          </w:tcPr>
          <w:p>
            <w:pPr>
              <w:spacing w:after="40"/>
            </w:pPr>
            <w:r>
              <w:rPr>
                <w:sz w:val="18"/>
              </w:rPr>
              <w:t>75</w:t>
            </w:r>
          </w:p>
        </w:tc>
        <w:tc>
          <w:tcPr>
            <w:tcW w:type="dxa" w:w="2498"/>
            <w:vAlign w:val="center"/>
          </w:tcPr>
          <w:p>
            <w:pPr>
              <w:spacing w:after="40"/>
            </w:pPr>
            <w:r>
              <w:rPr>
                <w:sz w:val="18"/>
              </w:rPr>
              <w:t>21</w:t>
            </w:r>
          </w:p>
        </w:tc>
        <w:tc>
          <w:tcPr>
            <w:tcW w:type="dxa" w:w="2498"/>
            <w:vAlign w:val="center"/>
          </w:tcPr>
          <w:p>
            <w:pPr>
              <w:spacing w:after="40"/>
            </w:pPr>
            <w:r>
              <w:rPr>
                <w:sz w:val="18"/>
              </w:rPr>
              <w:t>28.0%</w:t>
            </w:r>
          </w:p>
        </w:tc>
      </w:tr>
      <w:tr>
        <w:tc>
          <w:tcPr>
            <w:tcW w:type="dxa" w:w="2498"/>
            <w:vAlign w:val="center"/>
          </w:tcPr>
          <w:p>
            <w:pPr>
              <w:spacing w:after="40"/>
            </w:pPr>
            <w:r>
              <w:rPr>
                <w:sz w:val="18"/>
              </w:rPr>
              <w:t>3</w:t>
            </w:r>
          </w:p>
        </w:tc>
        <w:tc>
          <w:tcPr>
            <w:tcW w:type="dxa" w:w="2498"/>
            <w:vAlign w:val="center"/>
          </w:tcPr>
          <w:p>
            <w:pPr>
              <w:spacing w:after="40"/>
            </w:pPr>
            <w:r>
              <w:rPr>
                <w:sz w:val="18"/>
              </w:rPr>
              <w:t>72</w:t>
            </w:r>
          </w:p>
        </w:tc>
        <w:tc>
          <w:tcPr>
            <w:tcW w:type="dxa" w:w="2498"/>
            <w:vAlign w:val="center"/>
          </w:tcPr>
          <w:p>
            <w:pPr>
              <w:spacing w:after="40"/>
            </w:pPr>
            <w:r>
              <w:rPr>
                <w:sz w:val="18"/>
              </w:rPr>
              <w:t>16</w:t>
            </w:r>
          </w:p>
        </w:tc>
        <w:tc>
          <w:tcPr>
            <w:tcW w:type="dxa" w:w="2498"/>
            <w:vAlign w:val="center"/>
          </w:tcPr>
          <w:p>
            <w:pPr>
              <w:spacing w:after="40"/>
            </w:pPr>
            <w:r>
              <w:rPr>
                <w:sz w:val="18"/>
              </w:rPr>
              <w:t>22.2%</w:t>
            </w:r>
          </w:p>
        </w:tc>
      </w:tr>
    </w:tbl>
    <w:p>
      <w:pPr>
        <w:spacing w:after="20"/>
      </w:pPr>
    </w:p>
    <w:p>
      <w:r>
        <w:t>The selected four-cluster solution is strongly imbalanced: most observations are in one cluster while three smaller groups contain only a few dozen records each. The silhouette score is a geometric separation measure, not proof of useful or stable customer segments. Cluster sizes, robustness, domain meaning, and alternative distance/scaling choices should be investigated before acting on any segmentation. Churn rates above are descriptive only.</w:t>
      </w:r>
    </w:p>
    <w:p>
      <w:pPr>
        <w:pStyle w:val="Heading1"/>
      </w:pPr>
      <w:r>
        <w:t>Cross-validation and hyperparameter tuning</w:t>
      </w:r>
    </w:p>
    <w:p>
      <w:r>
        <w:t>A five-fold StratifiedKFold grid search evaluates Logistic Regression regularization values C = 0.1, 1, and 10 using ROC-AUC. Each fold refits preprocessing on its own training partition. The best parameter is C=0.1, with mean cross-validation ROC-AUC 0.802 ± 0.022.</w:t>
      </w:r>
    </w:p>
    <w:tbl>
      <w:tblPr>
        <w:tblStyle w:val="LightShading-Accent1"/>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17324D"/>
          </w:tcPr>
          <w:p>
            <w:r>
              <w:rPr>
                <w:b/>
                <w:color w:val="FFFFFF"/>
                <w:sz w:val="18"/>
              </w:rPr>
              <w:t>C</w:t>
            </w:r>
          </w:p>
        </w:tc>
        <w:tc>
          <w:tcPr>
            <w:tcW w:type="dxa" w:w="2498"/>
            <w:vAlign w:val="center"/>
            <w:shd w:fill="17324D"/>
          </w:tcPr>
          <w:p>
            <w:r>
              <w:rPr>
                <w:b/>
                <w:color w:val="FFFFFF"/>
                <w:sz w:val="18"/>
              </w:rPr>
              <w:t>Mean CV ROC-AUC</w:t>
            </w:r>
          </w:p>
        </w:tc>
        <w:tc>
          <w:tcPr>
            <w:tcW w:type="dxa" w:w="2498"/>
            <w:vAlign w:val="center"/>
            <w:shd w:fill="17324D"/>
          </w:tcPr>
          <w:p>
            <w:r>
              <w:rPr>
                <w:b/>
                <w:color w:val="FFFFFF"/>
                <w:sz w:val="18"/>
              </w:rPr>
              <w:t>Std. dev.</w:t>
            </w:r>
          </w:p>
        </w:tc>
        <w:tc>
          <w:tcPr>
            <w:tcW w:type="dxa" w:w="2498"/>
            <w:vAlign w:val="center"/>
            <w:shd w:fill="17324D"/>
          </w:tcPr>
          <w:p>
            <w:r>
              <w:rPr>
                <w:b/>
                <w:color w:val="FFFFFF"/>
                <w:sz w:val="18"/>
              </w:rPr>
              <w:t>Mean training ROC-AUC</w:t>
            </w:r>
          </w:p>
        </w:tc>
      </w:tr>
      <w:tr>
        <w:tc>
          <w:tcPr>
            <w:tcW w:type="dxa" w:w="2498"/>
            <w:vAlign w:val="center"/>
          </w:tcPr>
          <w:p>
            <w:pPr>
              <w:spacing w:after="40"/>
            </w:pPr>
            <w:r>
              <w:rPr>
                <w:sz w:val="18"/>
              </w:rPr>
              <w:t>0.1</w:t>
            </w:r>
          </w:p>
        </w:tc>
        <w:tc>
          <w:tcPr>
            <w:tcW w:type="dxa" w:w="2498"/>
            <w:vAlign w:val="center"/>
          </w:tcPr>
          <w:p>
            <w:pPr>
              <w:spacing w:after="40"/>
            </w:pPr>
            <w:r>
              <w:rPr>
                <w:sz w:val="18"/>
              </w:rPr>
              <w:t>0.802</w:t>
            </w:r>
          </w:p>
        </w:tc>
        <w:tc>
          <w:tcPr>
            <w:tcW w:type="dxa" w:w="2498"/>
            <w:vAlign w:val="center"/>
          </w:tcPr>
          <w:p>
            <w:pPr>
              <w:spacing w:after="40"/>
            </w:pPr>
            <w:r>
              <w:rPr>
                <w:sz w:val="18"/>
              </w:rPr>
              <w:t>0.022</w:t>
            </w:r>
          </w:p>
        </w:tc>
        <w:tc>
          <w:tcPr>
            <w:tcW w:type="dxa" w:w="2498"/>
            <w:vAlign w:val="center"/>
          </w:tcPr>
          <w:p>
            <w:pPr>
              <w:spacing w:after="40"/>
            </w:pPr>
            <w:r>
              <w:rPr>
                <w:sz w:val="18"/>
              </w:rPr>
              <w:t>0.818</w:t>
            </w:r>
          </w:p>
        </w:tc>
      </w:tr>
      <w:tr>
        <w:tc>
          <w:tcPr>
            <w:tcW w:type="dxa" w:w="2498"/>
            <w:vAlign w:val="center"/>
          </w:tcPr>
          <w:p>
            <w:pPr>
              <w:spacing w:after="40"/>
            </w:pPr>
            <w:r>
              <w:rPr>
                <w:sz w:val="18"/>
              </w:rPr>
              <w:t>1</w:t>
            </w:r>
          </w:p>
        </w:tc>
        <w:tc>
          <w:tcPr>
            <w:tcW w:type="dxa" w:w="2498"/>
            <w:vAlign w:val="center"/>
          </w:tcPr>
          <w:p>
            <w:pPr>
              <w:spacing w:after="40"/>
            </w:pPr>
            <w:r>
              <w:rPr>
                <w:sz w:val="18"/>
              </w:rPr>
              <w:t>0.801</w:t>
            </w:r>
          </w:p>
        </w:tc>
        <w:tc>
          <w:tcPr>
            <w:tcW w:type="dxa" w:w="2498"/>
            <w:vAlign w:val="center"/>
          </w:tcPr>
          <w:p>
            <w:pPr>
              <w:spacing w:after="40"/>
            </w:pPr>
            <w:r>
              <w:rPr>
                <w:sz w:val="18"/>
              </w:rPr>
              <w:t>0.022</w:t>
            </w:r>
          </w:p>
        </w:tc>
        <w:tc>
          <w:tcPr>
            <w:tcW w:type="dxa" w:w="2498"/>
            <w:vAlign w:val="center"/>
          </w:tcPr>
          <w:p>
            <w:pPr>
              <w:spacing w:after="40"/>
            </w:pPr>
            <w:r>
              <w:rPr>
                <w:sz w:val="18"/>
              </w:rPr>
              <w:t>0.819</w:t>
            </w:r>
          </w:p>
        </w:tc>
      </w:tr>
      <w:tr>
        <w:tc>
          <w:tcPr>
            <w:tcW w:type="dxa" w:w="2498"/>
            <w:vAlign w:val="center"/>
          </w:tcPr>
          <w:p>
            <w:pPr>
              <w:spacing w:after="40"/>
            </w:pPr>
            <w:r>
              <w:rPr>
                <w:sz w:val="18"/>
              </w:rPr>
              <w:t>10</w:t>
            </w:r>
          </w:p>
        </w:tc>
        <w:tc>
          <w:tcPr>
            <w:tcW w:type="dxa" w:w="2498"/>
            <w:vAlign w:val="center"/>
          </w:tcPr>
          <w:p>
            <w:pPr>
              <w:spacing w:after="40"/>
            </w:pPr>
            <w:r>
              <w:rPr>
                <w:sz w:val="18"/>
              </w:rPr>
              <w:t>0.801</w:t>
            </w:r>
          </w:p>
        </w:tc>
        <w:tc>
          <w:tcPr>
            <w:tcW w:type="dxa" w:w="2498"/>
            <w:vAlign w:val="center"/>
          </w:tcPr>
          <w:p>
            <w:pPr>
              <w:spacing w:after="40"/>
            </w:pPr>
            <w:r>
              <w:rPr>
                <w:sz w:val="18"/>
              </w:rPr>
              <w:t>0.022</w:t>
            </w:r>
          </w:p>
        </w:tc>
        <w:tc>
          <w:tcPr>
            <w:tcW w:type="dxa" w:w="2498"/>
            <w:vAlign w:val="center"/>
          </w:tcPr>
          <w:p>
            <w:pPr>
              <w:spacing w:after="40"/>
            </w:pPr>
            <w:r>
              <w:rPr>
                <w:sz w:val="18"/>
              </w:rPr>
              <w:t>0.819</w:t>
            </w:r>
          </w:p>
        </w:tc>
      </w:tr>
    </w:tbl>
    <w:p>
      <w:pPr>
        <w:spacing w:after="20"/>
      </w:pPr>
    </w:p>
    <w:p>
      <w:pPr>
        <w:pStyle w:val="Heading2"/>
      </w:pPr>
      <w:r>
        <w:t>Held-out test evaluation</w:t>
      </w:r>
    </w:p>
    <w:tbl>
      <w:tblPr>
        <w:tblStyle w:val="LightShading-Accent1"/>
        <w:tblW w:type="auto" w:w="0"/>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shd w:fill="17324D"/>
          </w:tcPr>
          <w:p>
            <w:r>
              <w:rPr>
                <w:b/>
                <w:color w:val="FFFFFF"/>
                <w:sz w:val="18"/>
              </w:rPr>
              <w:t>Accuracy</w:t>
            </w:r>
          </w:p>
        </w:tc>
        <w:tc>
          <w:tcPr>
            <w:tcW w:type="dxa" w:w="1666"/>
            <w:vAlign w:val="center"/>
            <w:shd w:fill="17324D"/>
          </w:tcPr>
          <w:p>
            <w:r>
              <w:rPr>
                <w:b/>
                <w:color w:val="FFFFFF"/>
                <w:sz w:val="18"/>
              </w:rPr>
              <w:t>Balanced acc.</w:t>
            </w:r>
          </w:p>
        </w:tc>
        <w:tc>
          <w:tcPr>
            <w:tcW w:type="dxa" w:w="1666"/>
            <w:vAlign w:val="center"/>
            <w:shd w:fill="17324D"/>
          </w:tcPr>
          <w:p>
            <w:r>
              <w:rPr>
                <w:b/>
                <w:color w:val="FFFFFF"/>
                <w:sz w:val="18"/>
              </w:rPr>
              <w:t>Precision</w:t>
            </w:r>
          </w:p>
        </w:tc>
        <w:tc>
          <w:tcPr>
            <w:tcW w:type="dxa" w:w="1666"/>
            <w:vAlign w:val="center"/>
            <w:shd w:fill="17324D"/>
          </w:tcPr>
          <w:p>
            <w:r>
              <w:rPr>
                <w:b/>
                <w:color w:val="FFFFFF"/>
                <w:sz w:val="18"/>
              </w:rPr>
              <w:t>Recall</w:t>
            </w:r>
          </w:p>
        </w:tc>
        <w:tc>
          <w:tcPr>
            <w:tcW w:type="dxa" w:w="1666"/>
            <w:vAlign w:val="center"/>
            <w:shd w:fill="17324D"/>
          </w:tcPr>
          <w:p>
            <w:r>
              <w:rPr>
                <w:b/>
                <w:color w:val="FFFFFF"/>
                <w:sz w:val="18"/>
              </w:rPr>
              <w:t>F1</w:t>
            </w:r>
          </w:p>
        </w:tc>
        <w:tc>
          <w:tcPr>
            <w:tcW w:type="dxa" w:w="1666"/>
            <w:vAlign w:val="center"/>
            <w:shd w:fill="17324D"/>
          </w:tcPr>
          <w:p>
            <w:r>
              <w:rPr>
                <w:b/>
                <w:color w:val="FFFFFF"/>
                <w:sz w:val="18"/>
              </w:rPr>
              <w:t>ROC-AUC</w:t>
            </w:r>
          </w:p>
        </w:tc>
      </w:tr>
      <w:tr>
        <w:tc>
          <w:tcPr>
            <w:tcW w:type="dxa" w:w="1666"/>
            <w:vAlign w:val="center"/>
          </w:tcPr>
          <w:p>
            <w:pPr>
              <w:spacing w:after="40"/>
            </w:pPr>
            <w:r>
              <w:rPr>
                <w:sz w:val="18"/>
              </w:rPr>
              <w:t>67.5%</w:t>
            </w:r>
          </w:p>
        </w:tc>
        <w:tc>
          <w:tcPr>
            <w:tcW w:type="dxa" w:w="1666"/>
            <w:vAlign w:val="center"/>
          </w:tcPr>
          <w:p>
            <w:pPr>
              <w:spacing w:after="40"/>
            </w:pPr>
            <w:r>
              <w:rPr>
                <w:sz w:val="18"/>
              </w:rPr>
              <w:t>66.9%</w:t>
            </w:r>
          </w:p>
        </w:tc>
        <w:tc>
          <w:tcPr>
            <w:tcW w:type="dxa" w:w="1666"/>
            <w:vAlign w:val="center"/>
          </w:tcPr>
          <w:p>
            <w:pPr>
              <w:spacing w:after="40"/>
            </w:pPr>
            <w:r>
              <w:rPr>
                <w:sz w:val="18"/>
              </w:rPr>
              <w:t>42.9%</w:t>
            </w:r>
          </w:p>
        </w:tc>
        <w:tc>
          <w:tcPr>
            <w:tcW w:type="dxa" w:w="1666"/>
            <w:vAlign w:val="center"/>
          </w:tcPr>
          <w:p>
            <w:pPr>
              <w:spacing w:after="40"/>
            </w:pPr>
            <w:r>
              <w:rPr>
                <w:sz w:val="18"/>
              </w:rPr>
              <w:t>65.6%</w:t>
            </w:r>
          </w:p>
        </w:tc>
        <w:tc>
          <w:tcPr>
            <w:tcW w:type="dxa" w:w="1666"/>
            <w:vAlign w:val="center"/>
          </w:tcPr>
          <w:p>
            <w:pPr>
              <w:spacing w:after="40"/>
            </w:pPr>
            <w:r>
              <w:rPr>
                <w:sz w:val="18"/>
              </w:rPr>
              <w:t>51.9%</w:t>
            </w:r>
          </w:p>
        </w:tc>
        <w:tc>
          <w:tcPr>
            <w:tcW w:type="dxa" w:w="1666"/>
            <w:vAlign w:val="center"/>
          </w:tcPr>
          <w:p>
            <w:pPr>
              <w:spacing w:after="40"/>
            </w:pPr>
            <w:r>
              <w:rPr>
                <w:sz w:val="18"/>
              </w:rPr>
              <w:t>0.766</w:t>
            </w:r>
          </w:p>
        </w:tc>
      </w:tr>
    </w:tbl>
    <w:p>
      <w:pPr>
        <w:spacing w:after="20"/>
      </w:pPr>
    </w:p>
    <w:tbl>
      <w:tblPr>
        <w:tblStyle w:val="LightShading-Accent1"/>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7324D"/>
          </w:tcPr>
          <w:p>
            <w:r>
              <w:rPr>
                <w:b/>
                <w:color w:val="FFFFFF"/>
                <w:sz w:val="18"/>
              </w:rPr>
              <w:t>Actual / Predicted</w:t>
            </w:r>
          </w:p>
        </w:tc>
        <w:tc>
          <w:tcPr>
            <w:tcW w:type="dxa" w:w="3331"/>
            <w:vAlign w:val="center"/>
            <w:shd w:fill="17324D"/>
          </w:tcPr>
          <w:p>
            <w:r>
              <w:rPr>
                <w:b/>
                <w:color w:val="FFFFFF"/>
                <w:sz w:val="18"/>
              </w:rPr>
              <w:t>No</w:t>
            </w:r>
          </w:p>
        </w:tc>
        <w:tc>
          <w:tcPr>
            <w:tcW w:type="dxa" w:w="3331"/>
            <w:vAlign w:val="center"/>
            <w:shd w:fill="17324D"/>
          </w:tcPr>
          <w:p>
            <w:r>
              <w:rPr>
                <w:b/>
                <w:color w:val="FFFFFF"/>
                <w:sz w:val="18"/>
              </w:rPr>
              <w:t>Yes</w:t>
            </w:r>
          </w:p>
        </w:tc>
      </w:tr>
      <w:tr>
        <w:tc>
          <w:tcPr>
            <w:tcW w:type="dxa" w:w="3331"/>
            <w:vAlign w:val="center"/>
          </w:tcPr>
          <w:p>
            <w:pPr>
              <w:spacing w:after="40"/>
            </w:pPr>
            <w:r>
              <w:rPr>
                <w:sz w:val="18"/>
              </w:rPr>
              <w:t>No</w:t>
            </w:r>
          </w:p>
        </w:tc>
        <w:tc>
          <w:tcPr>
            <w:tcW w:type="dxa" w:w="3331"/>
            <w:vAlign w:val="center"/>
          </w:tcPr>
          <w:p>
            <w:pPr>
              <w:spacing w:after="40"/>
            </w:pPr>
            <w:r>
              <w:rPr>
                <w:sz w:val="18"/>
              </w:rPr>
              <w:t>180</w:t>
            </w:r>
          </w:p>
        </w:tc>
        <w:tc>
          <w:tcPr>
            <w:tcW w:type="dxa" w:w="3331"/>
            <w:vAlign w:val="center"/>
          </w:tcPr>
          <w:p>
            <w:pPr>
              <w:spacing w:after="40"/>
            </w:pPr>
            <w:r>
              <w:rPr>
                <w:sz w:val="18"/>
              </w:rPr>
              <w:t>84</w:t>
            </w:r>
          </w:p>
        </w:tc>
      </w:tr>
      <w:tr>
        <w:tc>
          <w:tcPr>
            <w:tcW w:type="dxa" w:w="3331"/>
            <w:vAlign w:val="center"/>
          </w:tcPr>
          <w:p>
            <w:pPr>
              <w:spacing w:after="40"/>
            </w:pPr>
            <w:r>
              <w:rPr>
                <w:sz w:val="18"/>
              </w:rPr>
              <w:t>Yes</w:t>
            </w:r>
          </w:p>
        </w:tc>
        <w:tc>
          <w:tcPr>
            <w:tcW w:type="dxa" w:w="3331"/>
            <w:vAlign w:val="center"/>
          </w:tcPr>
          <w:p>
            <w:pPr>
              <w:spacing w:after="40"/>
            </w:pPr>
            <w:r>
              <w:rPr>
                <w:sz w:val="18"/>
              </w:rPr>
              <w:t>33</w:t>
            </w:r>
          </w:p>
        </w:tc>
        <w:tc>
          <w:tcPr>
            <w:tcW w:type="dxa" w:w="3331"/>
            <w:vAlign w:val="center"/>
          </w:tcPr>
          <w:p>
            <w:pPr>
              <w:spacing w:after="40"/>
            </w:pPr>
            <w:r>
              <w:rPr>
                <w:sz w:val="18"/>
              </w:rPr>
              <w:t>63</w:t>
            </w:r>
          </w:p>
        </w:tc>
      </w:tr>
    </w:tbl>
    <w:p>
      <w:pPr>
        <w:spacing w:after="20"/>
      </w:pPr>
    </w:p>
    <w:p>
      <w:r>
        <w:t>The matrix contains true negatives, false positives, false negatives, and true positives in that order by row. Recall emphasizes finding actual churners; precision reflects how many flagged customers are actual churners. The test set was not used to tune C. The metrics characterize this synthetic sample and one fixed random split, not future customers.</w:t>
      </w:r>
    </w:p>
    <w:p>
      <w:pPr>
        <w:pStyle w:val="Heading1"/>
      </w:pPr>
      <w:r>
        <w:t>Reproducibility</w:t>
      </w:r>
    </w:p>
    <w:p>
      <w:r>
        <w:t>Run `python -m yuva_ml.week3_unsupervised`. Candidate cluster scores, PCA coordinates, cluster composition, cross-validation results, the tuned confusion matrix, and JSON summaries are stored under outputs/.</w:t>
      </w:r>
    </w:p>
    <w:p>
      <w:pPr>
        <w:pStyle w:val="Heading1"/>
      </w:pPr>
      <w:r>
        <w:t>Submission description (214 words)</w:t>
      </w:r>
    </w:p>
    <w:p>
      <w:r>
        <w:t>This Week 3 report combines unsupervised learning with a careful evaluation of the supervised churn classifier. K-Means and Ward-linkage Agglomerative Clustering are run on imputed, scaled, and one-hot-encoded customer features for candidate cluster counts from two through six. The churn label is deliberately left out of clustering; it is used only afterward to describe the composition of the selected groups. Silhouette scores are compared on a reproducible sample of up to 1,000 observations, and a two-component PCA plot visualizes the selected clustering solution. The report discusses both the highest-scoring Agglomerative result and its important limitation: the four-cluster solution is highly imbalanced, so its silhouette value should not be mistaken for proof of four stable business segments. For model evaluation, a five-fold stratified grid search tunes Logistic Regression regularization on training data only. The best mean cross-validation ROC-AUC is approximately 0.802 with a standard deviation of 0.022, and the selected model is evaluated once on the untouched test split. The report includes the confusion matrix and accuracy, precision, recall, F1, and ROC-AUC, explaining how false positives and false negatives differ. It also records the PCA variance, tuning table, cluster metrics, and limitations of the synthetic sample. Reproducible scripts and CSV/JSON outputs are supplied so each score and visualization can be regenerated.</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Educational capstone • Synthetic customer-churn data • Local reproducible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37A7A"/>
        <w:sz w:val="16"/>
      </w:rPr>
      <w:t>YUVA INTERNSHIP  |  PYTHON &amp;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934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7A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