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C04B2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0C7190A">
      <w:pPr>
        <w:pBdr>
          <w:bottom w:val="single" w:color="1F4E79" w:sz="6" w:space="1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3 – </w:t>
      </w:r>
      <w:bookmarkStart w:id="0" w:name="_Hlk232755465"/>
      <w:r>
        <w:rPr>
          <w:b/>
          <w:bCs/>
          <w:color w:val="C00000"/>
          <w:sz w:val="24"/>
          <w:szCs w:val="24"/>
        </w:rPr>
        <w:t>Mock Interview</w:t>
      </w:r>
      <w:bookmarkEnd w:id="0"/>
    </w:p>
    <w:p w14:paraId="54A62946">
      <w:pPr>
        <w:pBdr>
          <w:bottom w:val="single" w:color="1F4E79" w:sz="6" w:space="1"/>
        </w:pBdr>
        <w:spacing w:after="80"/>
        <w:jc w:val="center"/>
      </w:pPr>
    </w:p>
    <w:p w14:paraId="058A4843">
      <w:pPr>
        <w:spacing w:after="50"/>
      </w:pPr>
    </w:p>
    <w:tbl>
      <w:tblPr>
        <w:tblStyle w:val="20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00"/>
        <w:gridCol w:w="3240"/>
        <w:gridCol w:w="1800"/>
        <w:gridCol w:w="3240"/>
      </w:tblGrid>
      <w:tr w14:paraId="3E683D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14:paraId="759B23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>
            <w:r>
              <w:rPr>
                <w:sz w:val="18"/>
                <w:szCs w:val="18"/>
              </w:rPr>
              <w:t>CO5 – Articulation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>
            <w:r>
              <w:rPr>
                <w:sz w:val="18"/>
                <w:szCs w:val="18"/>
              </w:rPr>
              <w:t>Assessment Tool 3 – Mock Interview</w:t>
            </w:r>
          </w:p>
        </w:tc>
      </w:tr>
      <w:tr w14:paraId="6DF844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>
            <w:r>
              <w:rPr>
                <w:sz w:val="18"/>
                <w:szCs w:val="18"/>
              </w:rPr>
              <w:t>30% of CIA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/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/>
        </w:tc>
      </w:tr>
      <w:tr w14:paraId="1CB437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>
            <w:r>
              <w:t>Implement semantic models using predicate logic, word sense disambiguation and validate information retrieval techniques. (BL-5)</w:t>
            </w:r>
          </w:p>
        </w:tc>
      </w:tr>
      <w:tr w14:paraId="16FD7F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>
            <w:r>
              <w:t>P.Sunayana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>
            <w:r>
              <w:t>192424303</w:t>
            </w:r>
          </w:p>
        </w:tc>
      </w:tr>
      <w:tr w14:paraId="35A466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>
            <w:r>
              <w:t>2024 AI&amp;DS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>
            <w:r>
              <w:t>01-09-2026</w:t>
            </w:r>
          </w:p>
        </w:tc>
      </w:tr>
    </w:tbl>
    <w:p w14:paraId="7EF45814">
      <w:pPr>
        <w:spacing w:after="50"/>
      </w:pPr>
    </w:p>
    <w:tbl>
      <w:tblPr>
        <w:tblStyle w:val="21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80"/>
      </w:tblGrid>
      <w:tr w14:paraId="2BB561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>
            <w:r>
              <w:rPr>
                <w:b/>
                <w:bCs/>
                <w:color w:val="C00000"/>
              </w:rPr>
              <w:t>Code of Conduct</w:t>
            </w:r>
          </w:p>
          <w:p w14:paraId="098E3472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</w:t>
            </w:r>
            <w:r>
              <w:rPr>
                <w:rFonts w:hint="default"/>
                <w:i/>
                <w:iCs/>
                <w:sz w:val="18"/>
                <w:szCs w:val="18"/>
                <w:lang w:val="en-US"/>
              </w:rPr>
              <w:t>S.Dhanashree</w:t>
            </w:r>
            <w:r>
              <w:rPr>
                <w:i/>
                <w:iCs/>
                <w:sz w:val="18"/>
                <w:szCs w:val="18"/>
              </w:rPr>
              <w:t>(</w:t>
            </w:r>
            <w:r>
              <w:rPr>
                <w:rFonts w:hint="default"/>
                <w:i/>
                <w:iCs/>
                <w:sz w:val="18"/>
                <w:szCs w:val="18"/>
                <w:lang w:val="en-US"/>
              </w:rPr>
              <w:t>192325082</w:t>
            </w:r>
            <w:r>
              <w:rPr>
                <w:i/>
                <w:iCs/>
                <w:sz w:val="18"/>
                <w:szCs w:val="18"/>
              </w:rPr>
              <w:t>)__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>
            <w:r>
              <w:rPr>
                <w:sz w:val="18"/>
                <w:szCs w:val="18"/>
              </w:rPr>
              <w:t>Signature of the Student: _</w:t>
            </w:r>
            <w:r>
              <w:rPr>
                <w:rFonts w:hint="default"/>
                <w:sz w:val="18"/>
                <w:szCs w:val="18"/>
                <w:lang w:val="en-US"/>
              </w:rPr>
              <w:t>S.Dhanashree</w:t>
            </w:r>
            <w:r>
              <w:rPr>
                <w:sz w:val="18"/>
                <w:szCs w:val="18"/>
              </w:rPr>
              <w:t>__</w:t>
            </w:r>
          </w:p>
        </w:tc>
      </w:tr>
    </w:tbl>
    <w:p w14:paraId="68736CA5">
      <w:pPr>
        <w:spacing w:after="50"/>
      </w:pPr>
    </w:p>
    <w:tbl>
      <w:tblPr>
        <w:tblStyle w:val="22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80"/>
      </w:tblGrid>
      <w:tr w14:paraId="1988B3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>
            <w:r>
              <w:rPr>
                <w:b/>
                <w:bCs/>
                <w:color w:val="C00000"/>
              </w:rPr>
              <w:t>Instructions</w:t>
            </w:r>
          </w:p>
          <w:p w14:paraId="5842B142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Start the mock interview by entering the provided ChatGPT prompt exactly as given in the Annexure A in the next page. Enter your Name and Register Number when requested.</w:t>
            </w:r>
          </w:p>
          <w:p w14:paraId="11970D4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Answer all 10 interview questions independently and in your own words using mobile chatgpt voice. Do not copy content from external sources or use AI-generated responses during the interview.</w:t>
            </w:r>
          </w:p>
          <w:p w14:paraId="6AE4315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Provide detailed and meaningful answers with appropriate technical terminology, examples, and justifications wherever applicable. One-line answers may lead to lower scores.</w:t>
            </w:r>
          </w:p>
          <w:p w14:paraId="4F46597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Complete the interview in a single session. Ensure that all 10 questions are answered before requesting the final evaluation and assessment report.</w:t>
            </w:r>
          </w:p>
          <w:p w14:paraId="11234BE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 xml:space="preserve">Submit the final ChatGPT-generated report printout, including the interview questions, your responses, question-wise rubric evaluation, and the Student Average Final Mark, as proof of completion. </w:t>
            </w:r>
          </w:p>
          <w:p w14:paraId="25B7DC3C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Duration: 30 minutes.</w:t>
            </w:r>
          </w:p>
        </w:tc>
      </w:tr>
    </w:tbl>
    <w:p w14:paraId="2C61D16F">
      <w:pPr>
        <w:spacing w:after="50"/>
      </w:pPr>
    </w:p>
    <w:tbl>
      <w:tblPr>
        <w:tblStyle w:val="23"/>
        <w:tblW w:w="100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114"/>
        <w:gridCol w:w="5245"/>
        <w:gridCol w:w="1701"/>
      </w:tblGrid>
      <w:tr w14:paraId="688DB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>
            <w:pPr>
              <w:jc w:val="center"/>
              <w:rPr>
                <w:b/>
                <w:color w:val="FFFFFF" w:themeColor="background1"/>
                <w:sz w:val="16"/>
                <w:szCs w:val="1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16"/>
                <w:szCs w:val="16"/>
                <w14:textFill>
                  <w14:solidFill>
                    <w14:schemeClr w14:val="bg1"/>
                  </w14:solidFill>
                </w14:textFill>
              </w:rPr>
              <w:t>Section / Topic</w:t>
            </w:r>
          </w:p>
        </w:tc>
        <w:tc>
          <w:tcPr>
            <w:tcW w:w="524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>
            <w:pPr>
              <w:jc w:val="center"/>
              <w:rPr>
                <w:b/>
                <w:color w:val="FFFFFF" w:themeColor="background1"/>
                <w:sz w:val="16"/>
                <w:szCs w:val="1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16"/>
                <w:szCs w:val="16"/>
                <w14:textFill>
                  <w14:solidFill>
                    <w14:schemeClr w14:val="bg1"/>
                  </w14:solidFill>
                </w14:textFill>
              </w:rPr>
              <w:t>Focus</w:t>
            </w:r>
          </w:p>
        </w:tc>
        <w:tc>
          <w:tcPr>
            <w:tcW w:w="170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>
            <w:pPr>
              <w:jc w:val="center"/>
              <w:rPr>
                <w:b/>
                <w:color w:val="FFFFFF" w:themeColor="background1"/>
                <w:sz w:val="16"/>
                <w:szCs w:val="1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16"/>
                <w:szCs w:val="16"/>
                <w14:textFill>
                  <w14:solidFill>
                    <w14:schemeClr w14:val="bg1"/>
                  </w14:solidFill>
                </w14:textFill>
              </w:rPr>
              <w:t>Question No.</w:t>
            </w:r>
          </w:p>
        </w:tc>
      </w:tr>
      <w:tr w14:paraId="7F861A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Discourse &amp; Reference Resolution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Understanding discourse, anaphora resolution, reference tracking, and contextual interpretation in text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Q1</w:t>
            </w:r>
          </w:p>
        </w:tc>
      </w:tr>
      <w:tr w14:paraId="19AD49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Text Coherence &amp; Discourse Structure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Analyzing coherence relations, discourse organization, and maintaining meaningful text flow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Q2</w:t>
            </w:r>
          </w:p>
        </w:tc>
      </w:tr>
      <w:tr w14:paraId="5D86FC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Dialog Acts &amp; Interpretation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Identifying dialog acts, speaker intentions, and conversational meaning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Q3</w:t>
            </w:r>
          </w:p>
        </w:tc>
      </w:tr>
      <w:tr w14:paraId="495ED4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6830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Dialog and Conversational Agents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DA3E5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Architecture, components, and working of conversational agents/chatbots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567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Q4</w:t>
            </w:r>
          </w:p>
        </w:tc>
      </w:tr>
      <w:tr w14:paraId="52367F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DF93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Language Generation Architecture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D86F1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Stages of Natural Language Generation (NLG), pipeline architecture, and applications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EC9F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Q5</w:t>
            </w:r>
          </w:p>
        </w:tc>
      </w:tr>
      <w:tr w14:paraId="08C740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D1BF8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Surface Realization &amp; Discourse Planning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6BAF4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Transforming semantic representations into grammatically correct sentences and planning discourse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F15E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Q6</w:t>
            </w:r>
          </w:p>
        </w:tc>
      </w:tr>
      <w:tr w14:paraId="2865FD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C4EE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Machine Translation – Transfer Approach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B9A6E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Translation process using transfer-based methods and practical applications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055B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Q7</w:t>
            </w:r>
          </w:p>
        </w:tc>
      </w:tr>
      <w:tr w14:paraId="3F5569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1562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Machine Translation – Interlingua Approach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20BC6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Language-independent representation and multilingual translation framework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A986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Q8</w:t>
            </w:r>
          </w:p>
        </w:tc>
      </w:tr>
      <w:tr w14:paraId="0163F4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804DF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Statistical Approaches in NLP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FC36B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Statistical language models, probability-based language generation, and machine translation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8A2A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Q9</w:t>
            </w:r>
          </w:p>
        </w:tc>
      </w:tr>
      <w:tr w14:paraId="3FCC3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7B76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Integrated Case Study (Analytical &amp; Problem Solving)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38E9B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Real-world scenario involving discourse analysis, conversational agents, language generation, and machine translation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2C63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Q10</w:t>
            </w:r>
          </w:p>
        </w:tc>
      </w:tr>
    </w:tbl>
    <w:p w14:paraId="396EC67C">
      <w:pPr>
        <w:spacing w:after="50"/>
      </w:pPr>
    </w:p>
    <w:p w14:paraId="7243CAFF">
      <w:pPr>
        <w:spacing w:after="50"/>
      </w:pPr>
    </w:p>
    <w:p w14:paraId="69C161AE">
      <w:pPr>
        <w:pBdr>
          <w:bottom w:val="single" w:color="C00000" w:sz="4" w:space="1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Mock Interview</w:t>
      </w:r>
    </w:p>
    <w:p w14:paraId="6E314678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CHATGPT PROMPT: copy and paste in your chatgpt</w:t>
      </w:r>
    </w:p>
    <w:p w14:paraId="0713793C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MOCK INTERVIEW ASSESSMENT – NLP (Language Generation and Discourse Analysis)</w:t>
      </w:r>
    </w:p>
    <w:p w14:paraId="111EBA35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Act as an expert Technical Interview Panel for Computer Science and Engineering students.</w:t>
      </w:r>
    </w:p>
    <w:p w14:paraId="62DA3AB3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Interview Domain: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Language Generation and Discourse Analysis</w:t>
      </w:r>
    </w:p>
    <w:p w14:paraId="690ACEC0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Topics:</w:t>
      </w:r>
    </w:p>
    <w:p w14:paraId="5EAA80E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Discourse</w:t>
      </w:r>
    </w:p>
    <w:p w14:paraId="4E200000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Reference Resolution</w:t>
      </w:r>
    </w:p>
    <w:p w14:paraId="3CACD0EC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Text Coherence</w:t>
      </w:r>
    </w:p>
    <w:p w14:paraId="4CD7CE2B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Discourse Structure</w:t>
      </w:r>
    </w:p>
    <w:p w14:paraId="0E0D18B2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Coherence</w:t>
      </w:r>
    </w:p>
    <w:p w14:paraId="27792CAC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Dialog and Conversational Agents</w:t>
      </w:r>
    </w:p>
    <w:p w14:paraId="6EB38B50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Dialog Acts</w:t>
      </w:r>
    </w:p>
    <w:p w14:paraId="78F46B2E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Interpretation</w:t>
      </w:r>
    </w:p>
    <w:p w14:paraId="53C0ABEF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Language Generation</w:t>
      </w:r>
    </w:p>
    <w:p w14:paraId="2190E324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Architecture</w:t>
      </w:r>
    </w:p>
    <w:p w14:paraId="4E66A475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Surface Realization</w:t>
      </w:r>
    </w:p>
    <w:p w14:paraId="52C0082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Discourse Planning</w:t>
      </w:r>
    </w:p>
    <w:p w14:paraId="2C0680D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Machine Translation</w:t>
      </w:r>
    </w:p>
    <w:p w14:paraId="108A61F3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Transfer Metaphor</w:t>
      </w:r>
    </w:p>
    <w:p w14:paraId="27DC5B94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Interlingua</w:t>
      </w:r>
    </w:p>
    <w:p w14:paraId="4BB20E5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Statistical Approaches</w:t>
      </w:r>
    </w:p>
    <w:p w14:paraId="08DDD836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Interview Instructions:</w:t>
      </w:r>
    </w:p>
    <w:p w14:paraId="41BC3B9A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558ED5" w:themeColor="text2" w:themeTint="99"/>
          <w:sz w:val="24"/>
          <w:szCs w:val="24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Step 1: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Ask the student to enter: 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Student Name:  </w:t>
      </w:r>
      <w:r>
        <w:rPr>
          <w:rFonts w:hint="default" w:ascii="Times New Roman" w:hAnsi="Times New Roman" w:eastAsia="Times New Roman" w:cs="Times New Roman"/>
          <w:color w:val="558ED5" w:themeColor="text2" w:themeTint="99"/>
          <w:sz w:val="24"/>
          <w:szCs w:val="24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S.Dhanashree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Register Number:  192</w:t>
      </w:r>
      <w:r>
        <w:rPr>
          <w:rFonts w:hint="default" w:ascii="Times New Roman" w:hAnsi="Times New Roman" w:eastAsia="Times New Roman" w:cs="Times New Roman"/>
          <w:color w:val="558ED5" w:themeColor="text2" w:themeTint="99"/>
          <w:sz w:val="24"/>
          <w:szCs w:val="24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325082</w:t>
      </w:r>
    </w:p>
    <w:p w14:paraId="6D474E52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Step 2: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Conduct a technical interview consisting of exactly 10 questions.</w:t>
      </w:r>
    </w:p>
    <w:p w14:paraId="639495A6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Rules:</w:t>
      </w:r>
    </w:p>
    <w:p w14:paraId="563DF6DE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Ask only one question at a time.</w:t>
      </w:r>
    </w:p>
    <w:p w14:paraId="22347C44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Wait for the student's response.</w:t>
      </w:r>
    </w:p>
    <w:p w14:paraId="528FF978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Ask conceptual, analytical, application-based, and problem-solving questions.</w:t>
      </w:r>
    </w:p>
    <w:p w14:paraId="78625658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Include at least:</w:t>
      </w:r>
    </w:p>
    <w:p w14:paraId="6F97616E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2 questions on Discourse and Coherence</w:t>
      </w:r>
    </w:p>
    <w:p w14:paraId="1D81B5B8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2 questions on Conversational Agents and Dialog Acts</w:t>
      </w:r>
    </w:p>
    <w:p w14:paraId="142517F5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2 questions on Language Generation</w:t>
      </w:r>
    </w:p>
    <w:p w14:paraId="6E14C9C0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2 questions on Machine Translation</w:t>
      </w:r>
    </w:p>
    <w:p w14:paraId="2E8CA9FC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2 analytical or scenario-based questions</w:t>
      </w:r>
    </w:p>
    <w:p w14:paraId="6561FD4A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Step 3: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Store every question and answer.</w:t>
      </w:r>
    </w:p>
    <w:p w14:paraId="7B3EEA6D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Step 4: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After Question 10, evaluate the student using the following rubric.</w:t>
      </w:r>
    </w:p>
    <w:p w14:paraId="37B4630A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RUBRIC</w:t>
      </w:r>
    </w:p>
    <w:p w14:paraId="1E4851D3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Technical Knowledge (25)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4: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Demonstrates strong and accurate subject knowledge with in-depth understanding</w:t>
      </w:r>
    </w:p>
    <w:p w14:paraId="5777C14D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3: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Shows good knowledge with minor gaps</w:t>
      </w:r>
    </w:p>
    <w:p w14:paraId="283F82E9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2: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Basic knowledge with noticeable errors</w:t>
      </w:r>
    </w:p>
    <w:p w14:paraId="278DF99D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1: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Lacks fundamental technical knowledge</w:t>
      </w:r>
    </w:p>
    <w:p w14:paraId="0CADD521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Problem Solving (25)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4: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Solves problems logically and applies concepts effectively in real scenarios</w:t>
      </w:r>
    </w:p>
    <w:p w14:paraId="03D60558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3: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Applies concepts with moderate accuracy</w:t>
      </w:r>
    </w:p>
    <w:p w14:paraId="4497B6D8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2: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Limited problem-solving ability; requires guidance</w:t>
      </w:r>
    </w:p>
    <w:p w14:paraId="0B4E46F3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1: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Unable to solve or apply concepts</w:t>
      </w:r>
    </w:p>
    <w:p w14:paraId="5504A0E2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Analytical Thinking (20)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4: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Analyzes questions critically and provides well-structured logical answers</w:t>
      </w:r>
    </w:p>
    <w:p w14:paraId="2D9CD851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3: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Provides reasonable analysis with some structure</w:t>
      </w:r>
    </w:p>
    <w:p w14:paraId="75236993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2: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Superficial or partially structured responses</w:t>
      </w:r>
    </w:p>
    <w:p w14:paraId="6A96178C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1: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No analytical thinking demonstrated</w:t>
      </w:r>
    </w:p>
    <w:p w14:paraId="1B124C79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Communication (15)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4: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Communicates clearly, confidently and professionally using appropriate terminology</w:t>
      </w:r>
    </w:p>
    <w:p w14:paraId="280C860A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3: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Communicates well with minor hesitation</w:t>
      </w:r>
    </w:p>
    <w:p w14:paraId="037EFD6F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2: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Communication lacks clarity or confidence</w:t>
      </w:r>
    </w:p>
    <w:p w14:paraId="39CD4FF6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1: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Unable to communicate effectively</w:t>
      </w:r>
    </w:p>
    <w:p w14:paraId="14815288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Confidence (15)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4: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Displays high confidence, positive attitude and professional behavior throughout</w:t>
      </w:r>
    </w:p>
    <w:p w14:paraId="4047EDCB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3: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Shows good confidence with minor issues</w:t>
      </w:r>
    </w:p>
    <w:p w14:paraId="227A5C0A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2: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Low confidence and inconsistent behavior</w:t>
      </w:r>
    </w:p>
    <w:p w14:paraId="4B29B690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1: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Lacks confidence and professionalism</w:t>
      </w:r>
    </w:p>
    <w:p w14:paraId="1A4D7E5E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MARK CALCULATION</w:t>
      </w:r>
    </w:p>
    <w:p w14:paraId="29F59DA3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4 = 100% of weightage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3 = 75% of weightage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2 = 50% of weightage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1 = 25% of weightage</w:t>
      </w:r>
    </w:p>
    <w:p w14:paraId="4EAD469D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Technical Knowledge = 25 marks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Problem Solving = 25 marks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Analytical Thinking = 20 marks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Communication = 15 marks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Confidence = 15 marks</w:t>
      </w:r>
    </w:p>
    <w:p w14:paraId="687ACB0D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Calculate: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Final Score = Sum of all rubric scores</w:t>
      </w:r>
    </w:p>
    <w:p w14:paraId="49CC9FA4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Step 5: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Generate the final report in the exact format below.</w:t>
      </w:r>
    </w:p>
    <w:p w14:paraId="4A154253">
      <w:pP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9E4BA3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MOCK INTERVIEW ASSESSMENT REPORT</w:t>
      </w:r>
    </w:p>
    <w:p w14:paraId="4FC86BC1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color w:val="558ED5" w:themeColor="text2" w:themeTint="99"/>
          <w:sz w:val="24"/>
          <w:szCs w:val="24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Student Name:</w:t>
      </w:r>
      <w:r>
        <w:rPr>
          <w:rFonts w:hint="default" w:ascii="Times New Roman" w:hAnsi="Times New Roman" w:eastAsia="Times New Roman" w:cs="Times New Roman"/>
          <w:color w:val="558ED5" w:themeColor="text2" w:themeTint="99"/>
          <w:sz w:val="24"/>
          <w:szCs w:val="24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S.Dhanashree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Register Number:</w:t>
      </w:r>
      <w:r>
        <w:rPr>
          <w:rFonts w:hint="default" w:ascii="Times New Roman" w:hAnsi="Times New Roman" w:eastAsia="Times New Roman" w:cs="Times New Roman"/>
          <w:color w:val="558ED5" w:themeColor="text2" w:themeTint="99"/>
          <w:sz w:val="24"/>
          <w:szCs w:val="24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192325082</w:t>
      </w:r>
    </w:p>
    <w:p w14:paraId="56DAA626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INTERVIEW QUESTIONS AND RESPONSES</w:t>
      </w:r>
    </w:p>
    <w:p w14:paraId="1D24F43F">
      <w:pPr>
        <w:pStyle w:val="26"/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Q1: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Question Asked: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What is discourse in Natural Language Processing? 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Student Response: </w:t>
      </w:r>
    </w:p>
    <w:p w14:paraId="7AC1DCDC">
      <w:pPr>
        <w:pStyle w:val="26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Discourse refers to a sequence of related sentences that together communicate a meaningful idea. In NLP, discourse analysis studies how sentences are connected and how meaning is maintained across an entire text or conversation.  </w:t>
      </w:r>
    </w:p>
    <w:p w14:paraId="46E170C8">
      <w:pPr>
        <w:pStyle w:val="26"/>
        <w:spacing w:after="160" w:line="259" w:lineRule="auto"/>
        <w:ind w:left="360"/>
        <w:rPr>
          <w:b/>
          <w:bCs/>
          <w:sz w:val="24"/>
          <w:szCs w:val="24"/>
        </w:rPr>
      </w:pPr>
    </w:p>
    <w:p w14:paraId="549609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Q2: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Question Asked: </w:t>
      </w:r>
      <w:r>
        <w:rPr>
          <w:rFonts w:ascii="Times New Roman" w:hAnsi="Times New Roman" w:cs="Times New Roman"/>
          <w:b/>
          <w:bCs/>
          <w:sz w:val="24"/>
          <w:szCs w:val="24"/>
        </w:rPr>
        <w:t>What is discourse analysis?</w:t>
      </w:r>
      <w:r>
        <w:rPr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Student Response: </w:t>
      </w:r>
      <w:r>
        <w:rPr>
          <w:rFonts w:ascii="Times New Roman" w:hAnsi="Times New Roman" w:cs="Times New Roman"/>
          <w:sz w:val="24"/>
          <w:szCs w:val="24"/>
        </w:rPr>
        <w:t>Discourse analysis is the process of studying language beyond individual words and sentences. It examines relationships between sentences, speaker intentions, context, coherence, and the overall structure of communication.</w:t>
      </w:r>
    </w:p>
    <w:p w14:paraId="2DBAD2B4">
      <w:pPr>
        <w:rPr>
          <w:rFonts w:ascii="Times New Roman" w:hAnsi="Times New Roman" w:cs="Times New Roman"/>
          <w:sz w:val="24"/>
          <w:szCs w:val="24"/>
        </w:rPr>
      </w:pPr>
    </w:p>
    <w:p w14:paraId="7332179B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Q3: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Question Asked: </w:t>
      </w:r>
      <w:r>
        <w:rPr>
          <w:rFonts w:ascii="Times New Roman" w:hAnsi="Times New Roman" w:cs="Times New Roman"/>
          <w:b/>
          <w:bCs/>
          <w:sz w:val="24"/>
          <w:szCs w:val="24"/>
        </w:rPr>
        <w:t>What is text coherence?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Student Response: </w:t>
      </w:r>
      <w:r>
        <w:rPr>
          <w:rFonts w:ascii="Times New Roman" w:hAnsi="Times New Roman" w:cs="Times New Roman"/>
          <w:sz w:val="24"/>
          <w:szCs w:val="24"/>
        </w:rPr>
        <w:t>Text coherence refers to the logical and meaningful connection between different parts of a text. A coherent text allows readers to understand how ideas and sentences relate to each other.</w:t>
      </w:r>
    </w:p>
    <w:p w14:paraId="63C09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Q4: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Question Asked: </w:t>
      </w:r>
      <w:r>
        <w:rPr>
          <w:rFonts w:ascii="Times New Roman" w:hAnsi="Times New Roman" w:cs="Times New Roman"/>
          <w:b/>
          <w:bCs/>
          <w:sz w:val="24"/>
          <w:szCs w:val="24"/>
        </w:rPr>
        <w:t>Analyze the coherence of: "It was raining heavily. Therefore, the match was cancelled."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Student Response: </w:t>
      </w:r>
      <w:r>
        <w:rPr>
          <w:rFonts w:ascii="Times New Roman" w:hAnsi="Times New Roman" w:cs="Times New Roman"/>
          <w:sz w:val="24"/>
          <w:szCs w:val="24"/>
        </w:rPr>
        <w:t>The two sentences have a clear cause-and-effect relationship. Heavy rain is the cause, while cancellation of the match is the result, creating a coherent connection between the statements.</w:t>
      </w:r>
    </w:p>
    <w:p w14:paraId="76D2BE37">
      <w:pPr>
        <w:rPr>
          <w:b/>
          <w:bCs/>
        </w:rPr>
      </w:pPr>
    </w:p>
    <w:p w14:paraId="6F260978">
      <w:pPr>
        <w:rPr>
          <w:b/>
          <w:bCs/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Q5: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Question Asked: </w:t>
      </w:r>
      <w:r>
        <w:rPr>
          <w:rFonts w:ascii="Times New Roman" w:hAnsi="Times New Roman" w:cs="Times New Roman"/>
          <w:b/>
          <w:bCs/>
          <w:sz w:val="24"/>
          <w:szCs w:val="24"/>
        </w:rPr>
        <w:t>Analyze the reference in: "The dog chased the cat because it was afraid."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Student Response: </w:t>
      </w:r>
      <w:r>
        <w:rPr>
          <w:rFonts w:ascii="Times New Roman" w:hAnsi="Times New Roman" w:cs="Times New Roman"/>
          <w:sz w:val="24"/>
          <w:szCs w:val="24"/>
        </w:rPr>
        <w:t>The pronoun "it" is ambiguous because it may refer to either the dog or the cat. Semantic and contextual reasoning are required to determine which animal was afraid.</w:t>
      </w:r>
    </w:p>
    <w:p w14:paraId="3766EF12">
      <w:pPr>
        <w:rPr>
          <w:b/>
          <w:bCs/>
        </w:rPr>
      </w:pPr>
    </w:p>
    <w:p w14:paraId="0F884343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Q6: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Question Asked: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Analyze how a chatbot should respond to: "I forgot my password."</w:t>
      </w:r>
    </w:p>
    <w:p w14:paraId="2146466B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Student Response: </w:t>
      </w:r>
      <w:r>
        <w:rPr>
          <w:rFonts w:ascii="Times New Roman" w:hAnsi="Times New Roman" w:eastAsia="Times New Roman" w:cs="Times New Roman"/>
          <w:sz w:val="24"/>
          <w:szCs w:val="24"/>
        </w:rPr>
        <w:t>The chatbot should identify the statement as a request for account assistance, even if the user does not explicitly ask a question. It should provide relevant instructions for resetting or recovering the password.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</w:p>
    <w:p w14:paraId="20083A3C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Q7: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Question Asked: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Analyze the transfer approach for translating between two languages.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Student Response: </w:t>
      </w:r>
      <w:r>
        <w:rPr>
          <w:rFonts w:ascii="Times New Roman" w:hAnsi="Times New Roman" w:eastAsia="Times New Roman" w:cs="Times New Roman"/>
          <w:sz w:val="24"/>
          <w:szCs w:val="24"/>
        </w:rPr>
        <w:t>The source sentence is first analyzed to identify its grammatical and semantic structure. This structure is transformed according to target-language rules before generating the final translated sentence.</w:t>
      </w:r>
    </w:p>
    <w:p w14:paraId="76AECE95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Q8: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Question Asked: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Analyze why pronoun resolution is difficult in long documents.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Student Response: </w:t>
      </w:r>
      <w:r>
        <w:rPr>
          <w:rFonts w:ascii="Times New Roman" w:hAnsi="Times New Roman" w:eastAsia="Times New Roman" w:cs="Times New Roman"/>
          <w:sz w:val="24"/>
          <w:szCs w:val="24"/>
        </w:rPr>
        <w:t>A pronoun may refer to an entity mentioned several sentences or paragraphs earlier. The system must track entities, grammatical features, semantic information, and discourse context to resolve the correct reference.</w:t>
      </w:r>
    </w:p>
    <w:p w14:paraId="2B383293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Q9:</w:t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Question Asked: Consider: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"Priya met Kavya after she finished her exam." What NLP problem is present?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Student Response: </w:t>
      </w:r>
      <w:r>
        <w:rPr>
          <w:rFonts w:ascii="Times New Roman" w:hAnsi="Times New Roman" w:eastAsia="Times New Roman" w:cs="Times New Roman"/>
          <w:sz w:val="24"/>
          <w:szCs w:val="24"/>
        </w:rPr>
        <w:t>The sentence contains pronoun ambiguity because "she" may refer to Priya or Kavya. The NLP system must use contextual and semantic information to resolve the intended reference.</w:t>
      </w:r>
    </w:p>
    <w:p w14:paraId="25F90267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Q10: Question Asked: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 customer says: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"My package has not arrived yet." How should a customer-service bot interpret it?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Student Response: </w:t>
      </w:r>
      <w:r>
        <w:rPr>
          <w:rFonts w:ascii="Times New Roman" w:hAnsi="Times New Roman" w:eastAsia="Times New Roman" w:cs="Times New Roman"/>
          <w:sz w:val="24"/>
          <w:szCs w:val="24"/>
        </w:rPr>
        <w:t>The system should recognize the statement as a complaint or request for delivery information. It should maintain the user's context and ask for relevant order details if necessary.</w:t>
      </w:r>
    </w:p>
    <w:p w14:paraId="5CDDEA74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RUBRIC EVALUATION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8"/>
        <w:gridCol w:w="1154"/>
        <w:gridCol w:w="1601"/>
        <w:gridCol w:w="1762"/>
      </w:tblGrid>
      <w:tr w14:paraId="3DECEF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8785774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Criterion</w:t>
            </w:r>
          </w:p>
        </w:tc>
        <w:tc>
          <w:tcPr>
            <w:tcW w:w="0" w:type="auto"/>
            <w:vAlign w:val="center"/>
          </w:tcPr>
          <w:p w14:paraId="4BBFEBE2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Weightage</w:t>
            </w:r>
          </w:p>
        </w:tc>
        <w:tc>
          <w:tcPr>
            <w:tcW w:w="0" w:type="auto"/>
            <w:vAlign w:val="center"/>
          </w:tcPr>
          <w:p w14:paraId="1CC928C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Assigned Level</w:t>
            </w:r>
          </w:p>
        </w:tc>
        <w:tc>
          <w:tcPr>
            <w:tcW w:w="0" w:type="auto"/>
            <w:vAlign w:val="center"/>
          </w:tcPr>
          <w:p w14:paraId="6C2E0E71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Marks Awarded</w:t>
            </w:r>
          </w:p>
        </w:tc>
      </w:tr>
      <w:tr w14:paraId="253709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9C86A4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Technical Knowledge</w:t>
            </w:r>
          </w:p>
        </w:tc>
        <w:tc>
          <w:tcPr>
            <w:tcW w:w="0" w:type="auto"/>
            <w:vAlign w:val="center"/>
          </w:tcPr>
          <w:p w14:paraId="20E61A25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25</w:t>
            </w:r>
          </w:p>
        </w:tc>
        <w:tc>
          <w:tcPr>
            <w:tcW w:w="0" w:type="auto"/>
            <w:vAlign w:val="center"/>
          </w:tcPr>
          <w:p w14:paraId="3685CBBE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45E60ABF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XX</w:t>
            </w:r>
          </w:p>
        </w:tc>
      </w:tr>
      <w:tr w14:paraId="24EC08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6A70C8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Problem Solving</w:t>
            </w:r>
          </w:p>
        </w:tc>
        <w:tc>
          <w:tcPr>
            <w:tcW w:w="0" w:type="auto"/>
            <w:vAlign w:val="center"/>
          </w:tcPr>
          <w:p w14:paraId="4D7579A7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25</w:t>
            </w:r>
          </w:p>
        </w:tc>
        <w:tc>
          <w:tcPr>
            <w:tcW w:w="0" w:type="auto"/>
            <w:vAlign w:val="center"/>
          </w:tcPr>
          <w:p w14:paraId="2EC8E312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6BBBF67D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XX</w:t>
            </w:r>
          </w:p>
        </w:tc>
      </w:tr>
      <w:tr w14:paraId="5CA6A0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01ABFE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Analytical Thinking</w:t>
            </w:r>
          </w:p>
        </w:tc>
        <w:tc>
          <w:tcPr>
            <w:tcW w:w="0" w:type="auto"/>
            <w:vAlign w:val="center"/>
          </w:tcPr>
          <w:p w14:paraId="712FF15C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20</w:t>
            </w:r>
          </w:p>
        </w:tc>
        <w:tc>
          <w:tcPr>
            <w:tcW w:w="0" w:type="auto"/>
            <w:vAlign w:val="center"/>
          </w:tcPr>
          <w:p w14:paraId="574B3834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7BB7FE60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XX</w:t>
            </w:r>
          </w:p>
        </w:tc>
      </w:tr>
      <w:tr w14:paraId="7F9EFD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72244A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Communication</w:t>
            </w:r>
          </w:p>
        </w:tc>
        <w:tc>
          <w:tcPr>
            <w:tcW w:w="0" w:type="auto"/>
            <w:vAlign w:val="center"/>
          </w:tcPr>
          <w:p w14:paraId="58E727B6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15</w:t>
            </w:r>
          </w:p>
        </w:tc>
        <w:tc>
          <w:tcPr>
            <w:tcW w:w="0" w:type="auto"/>
            <w:vAlign w:val="center"/>
          </w:tcPr>
          <w:p w14:paraId="36EB62A2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7F33C1CE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XX</w:t>
            </w:r>
          </w:p>
        </w:tc>
      </w:tr>
      <w:tr w14:paraId="602589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771A8A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Confidence</w:t>
            </w:r>
          </w:p>
        </w:tc>
        <w:tc>
          <w:tcPr>
            <w:tcW w:w="0" w:type="auto"/>
            <w:vAlign w:val="center"/>
          </w:tcPr>
          <w:p w14:paraId="2141CC45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15</w:t>
            </w:r>
          </w:p>
        </w:tc>
        <w:tc>
          <w:tcPr>
            <w:tcW w:w="0" w:type="auto"/>
            <w:vAlign w:val="center"/>
          </w:tcPr>
          <w:p w14:paraId="74462604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422D5513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XX</w:t>
            </w:r>
          </w:p>
        </w:tc>
      </w:tr>
    </w:tbl>
    <w:p w14:paraId="1B2642C5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SUMMARY TABLE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5"/>
        <w:gridCol w:w="1355"/>
        <w:gridCol w:w="1590"/>
        <w:gridCol w:w="1863"/>
        <w:gridCol w:w="1369"/>
        <w:gridCol w:w="845"/>
        <w:gridCol w:w="1433"/>
      </w:tblGrid>
      <w:tr w14:paraId="6F1D7A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5DC397D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Technical Knowledge (25)</w:t>
            </w:r>
          </w:p>
        </w:tc>
        <w:tc>
          <w:tcPr>
            <w:tcW w:w="0" w:type="auto"/>
            <w:vAlign w:val="center"/>
          </w:tcPr>
          <w:p w14:paraId="0C96338D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Problem Solving (25)</w:t>
            </w:r>
          </w:p>
        </w:tc>
        <w:tc>
          <w:tcPr>
            <w:tcW w:w="0" w:type="auto"/>
            <w:vAlign w:val="center"/>
          </w:tcPr>
          <w:p w14:paraId="7944521B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Analytical Thinking (20)</w:t>
            </w:r>
          </w:p>
        </w:tc>
        <w:tc>
          <w:tcPr>
            <w:tcW w:w="0" w:type="auto"/>
            <w:vAlign w:val="center"/>
          </w:tcPr>
          <w:p w14:paraId="4D0EC441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Communication (15)</w:t>
            </w:r>
          </w:p>
        </w:tc>
        <w:tc>
          <w:tcPr>
            <w:tcW w:w="0" w:type="auto"/>
            <w:vAlign w:val="center"/>
          </w:tcPr>
          <w:p w14:paraId="4A8BC190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Confidence (15)</w:t>
            </w:r>
          </w:p>
        </w:tc>
        <w:tc>
          <w:tcPr>
            <w:tcW w:w="0" w:type="auto"/>
            <w:vAlign w:val="center"/>
          </w:tcPr>
          <w:p w14:paraId="6E8D83E2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SubQ Total</w:t>
            </w:r>
          </w:p>
        </w:tc>
        <w:tc>
          <w:tcPr>
            <w:tcW w:w="0" w:type="auto"/>
            <w:vAlign w:val="center"/>
          </w:tcPr>
          <w:p w14:paraId="46095562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Student Avg Final Mark</w:t>
            </w:r>
          </w:p>
        </w:tc>
      </w:tr>
      <w:tr w14:paraId="4DD78F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E4E790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609469A2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38A56264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3BBC5771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43735DF8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Level X</w:t>
            </w:r>
          </w:p>
        </w:tc>
        <w:tc>
          <w:tcPr>
            <w:tcW w:w="0" w:type="auto"/>
            <w:vAlign w:val="center"/>
          </w:tcPr>
          <w:p w14:paraId="3BE8DDB8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XX.X</w:t>
            </w:r>
          </w:p>
        </w:tc>
        <w:tc>
          <w:tcPr>
            <w:tcW w:w="0" w:type="auto"/>
            <w:vAlign w:val="center"/>
          </w:tcPr>
          <w:p w14:paraId="6F8EA186">
            <w:pP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558ED5" w:themeColor="text2" w:themeTint="99"/>
                <w:sz w:val="24"/>
                <w:szCs w:val="24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XX.X</w:t>
            </w:r>
          </w:p>
        </w:tc>
      </w:tr>
    </w:tbl>
    <w:p w14:paraId="619721C3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OVERALL FEEDBACK</w:t>
      </w:r>
    </w:p>
    <w:p w14:paraId="7DF7195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Strengths:</w:t>
      </w:r>
    </w:p>
    <w:p w14:paraId="0B942734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List strengths</w:t>
      </w:r>
    </w:p>
    <w:p w14:paraId="4DB0AE76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Areas for Improvement:</w:t>
      </w:r>
    </w:p>
    <w:p w14:paraId="0E21C408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List improvements</w:t>
      </w:r>
    </w:p>
    <w:p w14:paraId="406A0E3E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Interview Readiness:</w:t>
      </w:r>
    </w:p>
    <w:p w14:paraId="3FB14839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Excellent / Good / Average / Needs Improvement</w:t>
      </w:r>
    </w:p>
    <w:p w14:paraId="0F2C9B89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End the report after the Interview Readiness section.</w:t>
      </w:r>
    </w:p>
    <w:p w14:paraId="7B2AE2FE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After evaluating each answer, do NOT display the marks immediately.</w:t>
      </w:r>
    </w:p>
    <w:p w14:paraId="09809F74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Store the evaluation internally.</w:t>
      </w:r>
    </w:p>
    <w:p w14:paraId="76B5AC68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After Question 10 is completed:</w:t>
      </w:r>
    </w:p>
    <w:p w14:paraId="59AC353A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1. Generate a Question-wise Evaluation Table for all 10 questions.</w:t>
      </w:r>
    </w:p>
    <w:p w14:paraId="3E82E9CE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2. For each question assign:</w:t>
      </w:r>
    </w:p>
    <w:p w14:paraId="3F5067B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Technical Knowledge Level</w:t>
      </w:r>
    </w:p>
    <w:p w14:paraId="0AA7B632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Problem Solving Level</w:t>
      </w:r>
    </w:p>
    <w:p w14:paraId="5F05400E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Analytical Thinking Level</w:t>
      </w:r>
    </w:p>
    <w:p w14:paraId="67773326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Communication Level</w:t>
      </w:r>
    </w:p>
    <w:p w14:paraId="62F21F61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Confidence Level</w:t>
      </w:r>
    </w:p>
    <w:p w14:paraId="7DAABFA0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SubQ Total</w:t>
      </w:r>
    </w:p>
    <w:p w14:paraId="2E24C35F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3. Calculate SubQ Total using:</w:t>
      </w:r>
    </w:p>
    <w:p w14:paraId="507D3BBE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4 = 100% weightage</w:t>
      </w:r>
    </w:p>
    <w:p w14:paraId="6F69D4D1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3 = 75% weightage</w:t>
      </w:r>
    </w:p>
    <w:p w14:paraId="4A164C3D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2 = 50% weightage</w:t>
      </w:r>
    </w:p>
    <w:p w14:paraId="547792CE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Level 1 = 25% weightage</w:t>
      </w:r>
    </w:p>
    <w:p w14:paraId="0006C160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4. Calculate Student Avg Final Mark as:</w:t>
      </w:r>
    </w:p>
    <w:p w14:paraId="1E352A23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789E4546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Average of all 10 SubQ Totals</w:t>
      </w:r>
    </w:p>
    <w:p w14:paraId="74E42BE1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5. Display:</w:t>
      </w:r>
    </w:p>
    <w:p w14:paraId="70743EF6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Complete interview questions</w:t>
      </w:r>
    </w:p>
    <w:p w14:paraId="36A056AF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Student answers</w:t>
      </w:r>
    </w:p>
    <w:p w14:paraId="402A4008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Question-wise evaluation table</w:t>
      </w:r>
    </w:p>
    <w:p w14:paraId="2FE73F2F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Student Avg Final Mark</w:t>
      </w:r>
    </w:p>
    <w:p w14:paraId="556FC47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Overall strengths</w:t>
      </w:r>
    </w:p>
    <w:p w14:paraId="3BD0F3A1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Areas for improvement</w:t>
      </w:r>
    </w:p>
    <w:p w14:paraId="17D8ACA8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- Interview readiness</w:t>
      </w:r>
    </w:p>
    <w:p w14:paraId="3DFEC4CD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</w:rPr>
      </w:pPr>
    </w:p>
    <w:p w14:paraId="6B98B977">
      <w:pPr>
        <w:rPr>
          <w:b/>
          <w:bCs/>
          <w:color w:val="1F4E79"/>
          <w:sz w:val="28"/>
          <w:szCs w:val="22"/>
        </w:rPr>
      </w:pPr>
    </w:p>
    <w:p w14:paraId="0D386BE6">
      <w:pPr>
        <w:rPr>
          <w:b/>
          <w:bCs/>
          <w:color w:val="1F4E79"/>
          <w:sz w:val="22"/>
          <w:szCs w:val="22"/>
        </w:rPr>
      </w:pPr>
    </w:p>
    <w:p w14:paraId="432BDD00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</w:rPr>
      </w:pPr>
    </w:p>
    <w:p w14:paraId="45E6BFA2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</w:rPr>
      </w:pPr>
    </w:p>
    <w:p w14:paraId="13CBEB02">
      <w:pPr>
        <w:pStyle w:val="26"/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Geo-Tag Photo:</w:t>
      </w:r>
    </w:p>
    <w:p w14:paraId="36F9A69B">
      <w:pPr>
        <w:pStyle w:val="26"/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07867963">
      <w:pPr>
        <w:pStyle w:val="26"/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4907EC11">
      <w:pPr>
        <w:pStyle w:val="26"/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452B51B1">
      <w:pPr>
        <w:pStyle w:val="26"/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bookmarkStart w:id="1" w:name="_GoBack"/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634365</wp:posOffset>
            </wp:positionH>
            <wp:positionV relativeFrom="paragraph">
              <wp:posOffset>0</wp:posOffset>
            </wp:positionV>
            <wp:extent cx="4925060" cy="3693795"/>
            <wp:effectExtent l="0" t="0" r="12700" b="9525"/>
            <wp:wrapTopAndBottom/>
            <wp:docPr id="2" name="Picture 2" descr="nlp-m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nlp-mock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506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"/>
    </w:p>
    <w:p w14:paraId="04B5E749">
      <w:pPr>
        <w:rPr>
          <w:b/>
          <w:bCs/>
          <w:color w:val="1F4E79"/>
          <w:sz w:val="22"/>
          <w:szCs w:val="22"/>
        </w:rPr>
      </w:pPr>
    </w:p>
    <w:p w14:paraId="4A98327C">
      <w:pPr>
        <w:rPr>
          <w:b/>
          <w:bCs/>
          <w:color w:val="1F4E79"/>
          <w:sz w:val="22"/>
          <w:szCs w:val="22"/>
        </w:rPr>
      </w:pPr>
    </w:p>
    <w:p w14:paraId="75D42511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3749C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20"/>
        <w:tblW w:w="9781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76"/>
        <w:gridCol w:w="851"/>
        <w:gridCol w:w="2268"/>
        <w:gridCol w:w="1762"/>
        <w:gridCol w:w="1781"/>
        <w:gridCol w:w="1843"/>
      </w:tblGrid>
      <w:tr w14:paraId="1A067E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0" w:hRule="atLeast"/>
        </w:trPr>
        <w:tc>
          <w:tcPr>
            <w:tcW w:w="1276" w:type="dxa"/>
            <w:vAlign w:val="center"/>
          </w:tcPr>
          <w:p w14:paraId="4FAA98F1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851" w:type="dxa"/>
            <w:vAlign w:val="center"/>
          </w:tcPr>
          <w:p w14:paraId="5EBA3C6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268" w:type="dxa"/>
            <w:vAlign w:val="center"/>
          </w:tcPr>
          <w:p w14:paraId="29AD0A8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762" w:type="dxa"/>
            <w:vAlign w:val="center"/>
          </w:tcPr>
          <w:p w14:paraId="6E788F5D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81" w:type="dxa"/>
            <w:vAlign w:val="center"/>
          </w:tcPr>
          <w:p w14:paraId="2220CBD6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843" w:type="dxa"/>
            <w:vAlign w:val="center"/>
          </w:tcPr>
          <w:p w14:paraId="5F389DB1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14:paraId="1AFE5E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16" w:hRule="atLeast"/>
        </w:trPr>
        <w:tc>
          <w:tcPr>
            <w:tcW w:w="1276" w:type="dxa"/>
            <w:vAlign w:val="center"/>
          </w:tcPr>
          <w:p w14:paraId="061E57AC">
            <w:pPr>
              <w:jc w:val="center"/>
            </w:pPr>
            <w:r>
              <w:rPr>
                <w:color w:val="000000"/>
              </w:rPr>
              <w:t>Technical Knowledge</w:t>
            </w:r>
          </w:p>
        </w:tc>
        <w:tc>
          <w:tcPr>
            <w:tcW w:w="851" w:type="dxa"/>
            <w:vAlign w:val="center"/>
          </w:tcPr>
          <w:p w14:paraId="551615A2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4B48D1E0">
            <w:pPr>
              <w:jc w:val="center"/>
            </w:pPr>
            <w:r>
              <w:rPr>
                <w:color w:val="000000"/>
              </w:rPr>
              <w:t>Demonstrates strong and accurate subject knowledge with in-depth understanding</w:t>
            </w:r>
          </w:p>
        </w:tc>
        <w:tc>
          <w:tcPr>
            <w:tcW w:w="1762" w:type="dxa"/>
            <w:vAlign w:val="center"/>
          </w:tcPr>
          <w:p w14:paraId="43A8590A">
            <w:pPr>
              <w:jc w:val="center"/>
            </w:pPr>
            <w:r>
              <w:rPr>
                <w:color w:val="000000"/>
              </w:rPr>
              <w:t>Shows good knowledge with minor gaps</w:t>
            </w:r>
          </w:p>
        </w:tc>
        <w:tc>
          <w:tcPr>
            <w:tcW w:w="1781" w:type="dxa"/>
            <w:vAlign w:val="center"/>
          </w:tcPr>
          <w:p w14:paraId="2C6CA63B">
            <w:pPr>
              <w:jc w:val="center"/>
            </w:pPr>
            <w:r>
              <w:rPr>
                <w:color w:val="000000"/>
              </w:rPr>
              <w:t>Basic knowledge with noticeable errors</w:t>
            </w:r>
          </w:p>
        </w:tc>
        <w:tc>
          <w:tcPr>
            <w:tcW w:w="1843" w:type="dxa"/>
            <w:vAlign w:val="center"/>
          </w:tcPr>
          <w:p w14:paraId="5F31F7DA">
            <w:pPr>
              <w:jc w:val="center"/>
            </w:pPr>
            <w:r>
              <w:rPr>
                <w:color w:val="000000"/>
              </w:rPr>
              <w:t>Lacks fundamental technical knowledge</w:t>
            </w:r>
          </w:p>
        </w:tc>
      </w:tr>
      <w:tr w14:paraId="4B032D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89" w:hRule="atLeast"/>
        </w:trPr>
        <w:tc>
          <w:tcPr>
            <w:tcW w:w="1276" w:type="dxa"/>
            <w:vAlign w:val="center"/>
          </w:tcPr>
          <w:p w14:paraId="2B8BB5A9">
            <w:pPr>
              <w:jc w:val="center"/>
            </w:pPr>
            <w:r>
              <w:rPr>
                <w:color w:val="000000"/>
              </w:rPr>
              <w:t>Problem Solving</w:t>
            </w:r>
          </w:p>
        </w:tc>
        <w:tc>
          <w:tcPr>
            <w:tcW w:w="851" w:type="dxa"/>
            <w:vAlign w:val="center"/>
          </w:tcPr>
          <w:p w14:paraId="29C4E3E5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01679752">
            <w:pPr>
              <w:jc w:val="center"/>
            </w:pPr>
            <w:r>
              <w:rPr>
                <w:color w:val="000000"/>
              </w:rPr>
              <w:t>Solves problems logically and applies concepts effectively in real scenarios</w:t>
            </w:r>
          </w:p>
        </w:tc>
        <w:tc>
          <w:tcPr>
            <w:tcW w:w="1762" w:type="dxa"/>
            <w:vAlign w:val="center"/>
          </w:tcPr>
          <w:p w14:paraId="7E24D111">
            <w:pPr>
              <w:jc w:val="center"/>
            </w:pPr>
            <w:r>
              <w:rPr>
                <w:color w:val="000000"/>
              </w:rPr>
              <w:t>Applies concepts with moderate accuracy</w:t>
            </w:r>
          </w:p>
        </w:tc>
        <w:tc>
          <w:tcPr>
            <w:tcW w:w="1781" w:type="dxa"/>
            <w:vAlign w:val="center"/>
          </w:tcPr>
          <w:p w14:paraId="657586CA">
            <w:pPr>
              <w:jc w:val="center"/>
            </w:pPr>
            <w:r>
              <w:rPr>
                <w:color w:val="000000"/>
              </w:rPr>
              <w:t>Limited problem-solving ability; requires guidance</w:t>
            </w:r>
          </w:p>
        </w:tc>
        <w:tc>
          <w:tcPr>
            <w:tcW w:w="1843" w:type="dxa"/>
            <w:vAlign w:val="center"/>
          </w:tcPr>
          <w:p w14:paraId="68C0E44C">
            <w:pPr>
              <w:jc w:val="center"/>
            </w:pPr>
            <w:r>
              <w:rPr>
                <w:color w:val="000000"/>
              </w:rPr>
              <w:t>Unable to solve or apply concepts</w:t>
            </w:r>
          </w:p>
        </w:tc>
      </w:tr>
      <w:tr w14:paraId="0C0C46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89" w:hRule="atLeast"/>
        </w:trPr>
        <w:tc>
          <w:tcPr>
            <w:tcW w:w="1276" w:type="dxa"/>
            <w:vAlign w:val="center"/>
          </w:tcPr>
          <w:p w14:paraId="53F729F3">
            <w:pPr>
              <w:jc w:val="center"/>
            </w:pPr>
            <w:r>
              <w:rPr>
                <w:color w:val="000000"/>
              </w:rPr>
              <w:t>Analytical Thinking</w:t>
            </w:r>
          </w:p>
        </w:tc>
        <w:tc>
          <w:tcPr>
            <w:tcW w:w="851" w:type="dxa"/>
            <w:vAlign w:val="center"/>
          </w:tcPr>
          <w:p w14:paraId="4C11442A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2268" w:type="dxa"/>
            <w:vAlign w:val="center"/>
          </w:tcPr>
          <w:p w14:paraId="4D70E6E2">
            <w:pPr>
              <w:jc w:val="center"/>
            </w:pPr>
            <w:r>
              <w:rPr>
                <w:color w:val="000000"/>
              </w:rPr>
              <w:t>Analyzes questions critically and provides well-structured, logical answers</w:t>
            </w:r>
          </w:p>
        </w:tc>
        <w:tc>
          <w:tcPr>
            <w:tcW w:w="1762" w:type="dxa"/>
            <w:vAlign w:val="center"/>
          </w:tcPr>
          <w:p w14:paraId="7F564DF4">
            <w:pPr>
              <w:jc w:val="center"/>
            </w:pPr>
            <w:r>
              <w:rPr>
                <w:color w:val="000000"/>
              </w:rPr>
              <w:t>Provides reasonable analysis with some structure</w:t>
            </w:r>
          </w:p>
        </w:tc>
        <w:tc>
          <w:tcPr>
            <w:tcW w:w="1781" w:type="dxa"/>
            <w:vAlign w:val="center"/>
          </w:tcPr>
          <w:p w14:paraId="2CF99263">
            <w:pPr>
              <w:jc w:val="center"/>
            </w:pPr>
            <w:r>
              <w:rPr>
                <w:color w:val="000000"/>
              </w:rPr>
              <w:t>Superficial or partially structured responses</w:t>
            </w:r>
          </w:p>
        </w:tc>
        <w:tc>
          <w:tcPr>
            <w:tcW w:w="1843" w:type="dxa"/>
            <w:vAlign w:val="center"/>
          </w:tcPr>
          <w:p w14:paraId="7D71A678">
            <w:pPr>
              <w:jc w:val="center"/>
            </w:pPr>
            <w:r>
              <w:rPr>
                <w:color w:val="000000"/>
              </w:rPr>
              <w:t>No analytical thinking demonstrated</w:t>
            </w:r>
          </w:p>
        </w:tc>
      </w:tr>
      <w:tr w14:paraId="4454D7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89" w:hRule="atLeast"/>
        </w:trPr>
        <w:tc>
          <w:tcPr>
            <w:tcW w:w="1276" w:type="dxa"/>
            <w:vAlign w:val="center"/>
          </w:tcPr>
          <w:p w14:paraId="4E07CDD3">
            <w:pPr>
              <w:jc w:val="center"/>
            </w:pPr>
            <w:r>
              <w:rPr>
                <w:color w:val="000000"/>
              </w:rPr>
              <w:t>Communication</w:t>
            </w:r>
          </w:p>
        </w:tc>
        <w:tc>
          <w:tcPr>
            <w:tcW w:w="851" w:type="dxa"/>
            <w:vAlign w:val="center"/>
          </w:tcPr>
          <w:p w14:paraId="1C6FF85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0E95D4AE">
            <w:pPr>
              <w:jc w:val="center"/>
            </w:pPr>
            <w:r>
              <w:rPr>
                <w:color w:val="000000"/>
              </w:rPr>
              <w:t>Communicates clearly, confidently, and professionally with proper terminology</w:t>
            </w:r>
          </w:p>
        </w:tc>
        <w:tc>
          <w:tcPr>
            <w:tcW w:w="1762" w:type="dxa"/>
            <w:vAlign w:val="center"/>
          </w:tcPr>
          <w:p w14:paraId="250CD2DB">
            <w:pPr>
              <w:jc w:val="center"/>
            </w:pPr>
            <w:r>
              <w:rPr>
                <w:color w:val="000000"/>
              </w:rPr>
              <w:t>Communicates well with minor hesitation</w:t>
            </w:r>
          </w:p>
        </w:tc>
        <w:tc>
          <w:tcPr>
            <w:tcW w:w="1781" w:type="dxa"/>
            <w:vAlign w:val="center"/>
          </w:tcPr>
          <w:p w14:paraId="7801E582">
            <w:pPr>
              <w:jc w:val="center"/>
            </w:pPr>
            <w:r>
              <w:rPr>
                <w:color w:val="000000"/>
              </w:rPr>
              <w:t>Communication lacks clarity or confidence</w:t>
            </w:r>
          </w:p>
        </w:tc>
        <w:tc>
          <w:tcPr>
            <w:tcW w:w="1843" w:type="dxa"/>
            <w:vAlign w:val="center"/>
          </w:tcPr>
          <w:p w14:paraId="7BCEB724">
            <w:pPr>
              <w:jc w:val="center"/>
            </w:pPr>
            <w:r>
              <w:rPr>
                <w:color w:val="000000"/>
              </w:rPr>
              <w:t>Unable to communicate effectively</w:t>
            </w:r>
          </w:p>
        </w:tc>
      </w:tr>
      <w:tr w14:paraId="1DD87C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89" w:hRule="atLeast"/>
        </w:trPr>
        <w:tc>
          <w:tcPr>
            <w:tcW w:w="1276" w:type="dxa"/>
            <w:vAlign w:val="center"/>
          </w:tcPr>
          <w:p w14:paraId="05D40B6D">
            <w:pPr>
              <w:jc w:val="center"/>
            </w:pPr>
            <w:r>
              <w:rPr>
                <w:color w:val="000000"/>
              </w:rPr>
              <w:t>Confidence</w:t>
            </w:r>
          </w:p>
        </w:tc>
        <w:tc>
          <w:tcPr>
            <w:tcW w:w="851" w:type="dxa"/>
            <w:vAlign w:val="center"/>
          </w:tcPr>
          <w:p w14:paraId="32C70A66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18E6AE91">
            <w:pPr>
              <w:jc w:val="center"/>
            </w:pPr>
            <w:r>
              <w:rPr>
                <w:color w:val="000000"/>
              </w:rPr>
              <w:t>Displays high confidence, positive attitude, and professional behavior throughout</w:t>
            </w:r>
          </w:p>
        </w:tc>
        <w:tc>
          <w:tcPr>
            <w:tcW w:w="1762" w:type="dxa"/>
            <w:vAlign w:val="center"/>
          </w:tcPr>
          <w:p w14:paraId="64C3BD67">
            <w:pPr>
              <w:jc w:val="center"/>
            </w:pPr>
            <w:r>
              <w:rPr>
                <w:color w:val="000000"/>
              </w:rPr>
              <w:t>Shows good confidence with minor issues</w:t>
            </w:r>
          </w:p>
        </w:tc>
        <w:tc>
          <w:tcPr>
            <w:tcW w:w="1781" w:type="dxa"/>
            <w:vAlign w:val="center"/>
          </w:tcPr>
          <w:p w14:paraId="4445F242">
            <w:pPr>
              <w:jc w:val="center"/>
            </w:pPr>
            <w:r>
              <w:rPr>
                <w:color w:val="000000"/>
              </w:rPr>
              <w:t>Low confidence; inconsistent behavior</w:t>
            </w:r>
          </w:p>
        </w:tc>
        <w:tc>
          <w:tcPr>
            <w:tcW w:w="1843" w:type="dxa"/>
            <w:vAlign w:val="center"/>
          </w:tcPr>
          <w:p w14:paraId="4A6B9FA6">
            <w:pPr>
              <w:jc w:val="center"/>
            </w:pPr>
            <w:r>
              <w:rPr>
                <w:color w:val="000000"/>
              </w:rPr>
              <w:t>Lacks confidence and professionalism</w:t>
            </w:r>
          </w:p>
        </w:tc>
      </w:tr>
    </w:tbl>
    <w:p w14:paraId="02F32B60">
      <w:pPr>
        <w:spacing w:after="50"/>
        <w:rPr>
          <w:b/>
          <w:bCs/>
          <w:color w:val="1F4E79"/>
          <w:sz w:val="22"/>
          <w:szCs w:val="22"/>
        </w:rPr>
      </w:pPr>
    </w:p>
    <w:p w14:paraId="65F80E55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17"/>
        <w:tblW w:w="9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"/>
        <w:gridCol w:w="1769"/>
        <w:gridCol w:w="1350"/>
        <w:gridCol w:w="1418"/>
        <w:gridCol w:w="1275"/>
        <w:gridCol w:w="1134"/>
        <w:gridCol w:w="1158"/>
        <w:gridCol w:w="752"/>
      </w:tblGrid>
      <w:tr w14:paraId="31A92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987" w:type="dxa"/>
          </w:tcPr>
          <w:p w14:paraId="6BB08DD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Q. No. / Criteria Level</w:t>
            </w:r>
          </w:p>
        </w:tc>
        <w:tc>
          <w:tcPr>
            <w:tcW w:w="1769" w:type="dxa"/>
          </w:tcPr>
          <w:p w14:paraId="6F3DB802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Problem Understanding</w:t>
            </w:r>
          </w:p>
        </w:tc>
        <w:tc>
          <w:tcPr>
            <w:tcW w:w="1350" w:type="dxa"/>
          </w:tcPr>
          <w:p w14:paraId="2DC91558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Algorithm Design</w:t>
            </w:r>
          </w:p>
        </w:tc>
        <w:tc>
          <w:tcPr>
            <w:tcW w:w="1418" w:type="dxa"/>
          </w:tcPr>
          <w:p w14:paraId="1644AB1C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Use of Control Structures</w:t>
            </w:r>
          </w:p>
        </w:tc>
        <w:tc>
          <w:tcPr>
            <w:tcW w:w="1275" w:type="dxa"/>
          </w:tcPr>
          <w:p w14:paraId="6365185A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Pseudocode Structure</w:t>
            </w:r>
          </w:p>
        </w:tc>
        <w:tc>
          <w:tcPr>
            <w:tcW w:w="1134" w:type="dxa"/>
          </w:tcPr>
          <w:p w14:paraId="386423F7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Completeness</w:t>
            </w:r>
          </w:p>
        </w:tc>
        <w:tc>
          <w:tcPr>
            <w:tcW w:w="1158" w:type="dxa"/>
          </w:tcPr>
          <w:p w14:paraId="74C48A74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Sub. Total</w:t>
            </w:r>
          </w:p>
        </w:tc>
        <w:tc>
          <w:tcPr>
            <w:tcW w:w="752" w:type="dxa"/>
          </w:tcPr>
          <w:p w14:paraId="3300682C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Total %</w:t>
            </w:r>
          </w:p>
        </w:tc>
      </w:tr>
      <w:tr w14:paraId="47093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4130C6F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1</w:t>
            </w:r>
          </w:p>
        </w:tc>
        <w:tc>
          <w:tcPr>
            <w:tcW w:w="1769" w:type="dxa"/>
          </w:tcPr>
          <w:p w14:paraId="074D2EF9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350" w:type="dxa"/>
          </w:tcPr>
          <w:p w14:paraId="370FC001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418" w:type="dxa"/>
          </w:tcPr>
          <w:p w14:paraId="7245AD05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275" w:type="dxa"/>
          </w:tcPr>
          <w:p w14:paraId="760B7DAB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</w:tcPr>
          <w:p w14:paraId="31E0F5D8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158" w:type="dxa"/>
          </w:tcPr>
          <w:p w14:paraId="1E442887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752" w:type="dxa"/>
            <w:vMerge w:val="restart"/>
          </w:tcPr>
          <w:p w14:paraId="37D37A57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3D11E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479EE4B9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2</w:t>
            </w:r>
          </w:p>
        </w:tc>
        <w:tc>
          <w:tcPr>
            <w:tcW w:w="1769" w:type="dxa"/>
          </w:tcPr>
          <w:p w14:paraId="35B96E8A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350" w:type="dxa"/>
          </w:tcPr>
          <w:p w14:paraId="25D27C1A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418" w:type="dxa"/>
          </w:tcPr>
          <w:p w14:paraId="16EFAE5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275" w:type="dxa"/>
          </w:tcPr>
          <w:p w14:paraId="0400F31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</w:tcPr>
          <w:p w14:paraId="337B6465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158" w:type="dxa"/>
          </w:tcPr>
          <w:p w14:paraId="1FC74DC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752" w:type="dxa"/>
            <w:vMerge w:val="continue"/>
          </w:tcPr>
          <w:p w14:paraId="3BFEE7D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33303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720C76C0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3</w:t>
            </w:r>
          </w:p>
        </w:tc>
        <w:tc>
          <w:tcPr>
            <w:tcW w:w="1769" w:type="dxa"/>
          </w:tcPr>
          <w:p w14:paraId="6334A51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350" w:type="dxa"/>
          </w:tcPr>
          <w:p w14:paraId="75ADB785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418" w:type="dxa"/>
          </w:tcPr>
          <w:p w14:paraId="24665F8E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275" w:type="dxa"/>
          </w:tcPr>
          <w:p w14:paraId="066C9658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</w:tcPr>
          <w:p w14:paraId="0ED05396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158" w:type="dxa"/>
          </w:tcPr>
          <w:p w14:paraId="69235C02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752" w:type="dxa"/>
            <w:vMerge w:val="continue"/>
          </w:tcPr>
          <w:p w14:paraId="0C8DB39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62AAA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48CDA14B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4</w:t>
            </w:r>
          </w:p>
        </w:tc>
        <w:tc>
          <w:tcPr>
            <w:tcW w:w="1769" w:type="dxa"/>
          </w:tcPr>
          <w:p w14:paraId="13B1A43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350" w:type="dxa"/>
          </w:tcPr>
          <w:p w14:paraId="20F4E5DC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418" w:type="dxa"/>
          </w:tcPr>
          <w:p w14:paraId="6E22FEA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275" w:type="dxa"/>
          </w:tcPr>
          <w:p w14:paraId="4F8FABA0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</w:tcPr>
          <w:p w14:paraId="55B7EF11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158" w:type="dxa"/>
          </w:tcPr>
          <w:p w14:paraId="0C5B4621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752" w:type="dxa"/>
            <w:vMerge w:val="continue"/>
          </w:tcPr>
          <w:p w14:paraId="249E297F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3563F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49402040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5</w:t>
            </w:r>
          </w:p>
        </w:tc>
        <w:tc>
          <w:tcPr>
            <w:tcW w:w="1769" w:type="dxa"/>
          </w:tcPr>
          <w:p w14:paraId="3C2207B0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350" w:type="dxa"/>
          </w:tcPr>
          <w:p w14:paraId="008DB139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418" w:type="dxa"/>
          </w:tcPr>
          <w:p w14:paraId="56D499B8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275" w:type="dxa"/>
          </w:tcPr>
          <w:p w14:paraId="351A02A9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</w:tcPr>
          <w:p w14:paraId="41E4D207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158" w:type="dxa"/>
          </w:tcPr>
          <w:p w14:paraId="025A3F12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752" w:type="dxa"/>
            <w:vMerge w:val="continue"/>
          </w:tcPr>
          <w:p w14:paraId="5B3257E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14F7F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582057C7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6</w:t>
            </w:r>
          </w:p>
        </w:tc>
        <w:tc>
          <w:tcPr>
            <w:tcW w:w="1769" w:type="dxa"/>
          </w:tcPr>
          <w:p w14:paraId="6BD4513F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350" w:type="dxa"/>
          </w:tcPr>
          <w:p w14:paraId="4B3DC390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418" w:type="dxa"/>
          </w:tcPr>
          <w:p w14:paraId="1B8457E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275" w:type="dxa"/>
          </w:tcPr>
          <w:p w14:paraId="3F2C5A82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</w:tcPr>
          <w:p w14:paraId="23990C2A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158" w:type="dxa"/>
          </w:tcPr>
          <w:p w14:paraId="4174600E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752" w:type="dxa"/>
            <w:vMerge w:val="continue"/>
          </w:tcPr>
          <w:p w14:paraId="2895C6CA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39E2D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6F1445FA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7</w:t>
            </w:r>
          </w:p>
        </w:tc>
        <w:tc>
          <w:tcPr>
            <w:tcW w:w="1769" w:type="dxa"/>
          </w:tcPr>
          <w:p w14:paraId="77CD815A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350" w:type="dxa"/>
          </w:tcPr>
          <w:p w14:paraId="21E84B8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418" w:type="dxa"/>
          </w:tcPr>
          <w:p w14:paraId="67A5B721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275" w:type="dxa"/>
          </w:tcPr>
          <w:p w14:paraId="5B6F6552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</w:tcPr>
          <w:p w14:paraId="5B8EF00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158" w:type="dxa"/>
          </w:tcPr>
          <w:p w14:paraId="159C06D4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752" w:type="dxa"/>
            <w:vMerge w:val="continue"/>
          </w:tcPr>
          <w:p w14:paraId="1DBEC045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48C75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6A150B88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8</w:t>
            </w:r>
          </w:p>
        </w:tc>
        <w:tc>
          <w:tcPr>
            <w:tcW w:w="1769" w:type="dxa"/>
          </w:tcPr>
          <w:p w14:paraId="446862DB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350" w:type="dxa"/>
          </w:tcPr>
          <w:p w14:paraId="73A54E76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418" w:type="dxa"/>
          </w:tcPr>
          <w:p w14:paraId="27BFFC14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275" w:type="dxa"/>
          </w:tcPr>
          <w:p w14:paraId="0B3664CF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</w:tcPr>
          <w:p w14:paraId="40C60EFF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158" w:type="dxa"/>
          </w:tcPr>
          <w:p w14:paraId="093A3684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752" w:type="dxa"/>
            <w:vMerge w:val="continue"/>
          </w:tcPr>
          <w:p w14:paraId="194A0C52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6164F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01614AE2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9</w:t>
            </w:r>
          </w:p>
        </w:tc>
        <w:tc>
          <w:tcPr>
            <w:tcW w:w="1769" w:type="dxa"/>
          </w:tcPr>
          <w:p w14:paraId="0C8273BB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350" w:type="dxa"/>
          </w:tcPr>
          <w:p w14:paraId="039E862F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418" w:type="dxa"/>
          </w:tcPr>
          <w:p w14:paraId="738E6F5B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275" w:type="dxa"/>
          </w:tcPr>
          <w:p w14:paraId="3A52FA0C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</w:tcPr>
          <w:p w14:paraId="1C4F6385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158" w:type="dxa"/>
          </w:tcPr>
          <w:p w14:paraId="2CA9B1E5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752" w:type="dxa"/>
            <w:vMerge w:val="continue"/>
          </w:tcPr>
          <w:p w14:paraId="051A6A19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0E71B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0C08F34A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10</w:t>
            </w:r>
          </w:p>
        </w:tc>
        <w:tc>
          <w:tcPr>
            <w:tcW w:w="1769" w:type="dxa"/>
          </w:tcPr>
          <w:p w14:paraId="4E6A0957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350" w:type="dxa"/>
          </w:tcPr>
          <w:p w14:paraId="54F535EE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418" w:type="dxa"/>
          </w:tcPr>
          <w:p w14:paraId="5E22D7CE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275" w:type="dxa"/>
          </w:tcPr>
          <w:p w14:paraId="79BDECB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134" w:type="dxa"/>
          </w:tcPr>
          <w:p w14:paraId="062E7A54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158" w:type="dxa"/>
          </w:tcPr>
          <w:p w14:paraId="4017A030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752" w:type="dxa"/>
            <w:vMerge w:val="continue"/>
          </w:tcPr>
          <w:p w14:paraId="656929B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</w:tbl>
    <w:p w14:paraId="0A02E6D5">
      <w:pPr>
        <w:spacing w:after="50"/>
        <w:rPr>
          <w:b/>
          <w:bCs/>
          <w:color w:val="1F4E79"/>
          <w:sz w:val="22"/>
          <w:szCs w:val="22"/>
        </w:rPr>
      </w:pPr>
    </w:p>
    <w:p w14:paraId="35B1CAC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25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360"/>
        <w:gridCol w:w="3360"/>
        <w:gridCol w:w="3360"/>
      </w:tblGrid>
      <w:tr w14:paraId="5218A3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14:paraId="4FE96C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>
            <w:r>
              <w:t>Dr Kumaragurubaran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/>
        </w:tc>
      </w:tr>
      <w:tr w14:paraId="1B61A1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14:paraId="65C502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34AEED8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369E303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7B37378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sectPr>
      <w:pgSz w:w="12240" w:h="15840"/>
      <w:pgMar w:top="1440" w:right="1080" w:bottom="1440" w:left="1080" w:header="708" w:footer="708" w:gutter="0"/>
      <w:pgNumType w:start="1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8E31F2C-7316-492E-8DBD-ED1BC5468008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E3571D9B-6CDD-4A91-8A1D-9052130DCE9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910097F4-E42E-40C0-925E-4D92064A7E3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1066733-03AE-401D-AFA5-539EA5EBFBD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186597E0-1086-45FF-BD99-BA9EE327275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6" w:fontKey="{7C278AA5-0958-4FC5-BA47-163DFF58D375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7" w:fontKey="{33809FA2-6861-4049-BAB2-9D6625B3E563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CB66F6"/>
    <w:multiLevelType w:val="multilevel"/>
    <w:tmpl w:val="05CB66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F430DBD"/>
    <w:multiLevelType w:val="multilevel"/>
    <w:tmpl w:val="1F430D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6F42809"/>
    <w:multiLevelType w:val="multilevel"/>
    <w:tmpl w:val="26F428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6F466E5"/>
    <w:multiLevelType w:val="multilevel"/>
    <w:tmpl w:val="36F466E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CDA7BA8"/>
    <w:multiLevelType w:val="multilevel"/>
    <w:tmpl w:val="4CDA7B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DFB63BD"/>
    <w:multiLevelType w:val="multilevel"/>
    <w:tmpl w:val="4DFB63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E637F92"/>
    <w:multiLevelType w:val="multilevel"/>
    <w:tmpl w:val="4E637F92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E9A"/>
    <w:rsid w:val="0000735C"/>
    <w:rsid w:val="000123C5"/>
    <w:rsid w:val="000244E5"/>
    <w:rsid w:val="00031701"/>
    <w:rsid w:val="00043746"/>
    <w:rsid w:val="00047F39"/>
    <w:rsid w:val="000513F1"/>
    <w:rsid w:val="00054A10"/>
    <w:rsid w:val="00056994"/>
    <w:rsid w:val="0007479D"/>
    <w:rsid w:val="000F31A7"/>
    <w:rsid w:val="000F3D54"/>
    <w:rsid w:val="00104A56"/>
    <w:rsid w:val="00110EE0"/>
    <w:rsid w:val="001154D0"/>
    <w:rsid w:val="00146B9B"/>
    <w:rsid w:val="00154049"/>
    <w:rsid w:val="0017585F"/>
    <w:rsid w:val="00176463"/>
    <w:rsid w:val="0018240B"/>
    <w:rsid w:val="00184703"/>
    <w:rsid w:val="001866E0"/>
    <w:rsid w:val="00197BDA"/>
    <w:rsid w:val="001A4E0F"/>
    <w:rsid w:val="001A687F"/>
    <w:rsid w:val="001B231F"/>
    <w:rsid w:val="001B4D9E"/>
    <w:rsid w:val="001D0608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32256E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0B41"/>
    <w:rsid w:val="00462E9A"/>
    <w:rsid w:val="0047164A"/>
    <w:rsid w:val="00485DCD"/>
    <w:rsid w:val="00486500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8004C"/>
    <w:rsid w:val="006A0C55"/>
    <w:rsid w:val="006A3FA4"/>
    <w:rsid w:val="006A5A4D"/>
    <w:rsid w:val="006B20C5"/>
    <w:rsid w:val="006B2145"/>
    <w:rsid w:val="006C1C39"/>
    <w:rsid w:val="006C4B00"/>
    <w:rsid w:val="006F3A50"/>
    <w:rsid w:val="0070714E"/>
    <w:rsid w:val="00716059"/>
    <w:rsid w:val="00717ACD"/>
    <w:rsid w:val="00726938"/>
    <w:rsid w:val="0075514E"/>
    <w:rsid w:val="0076410E"/>
    <w:rsid w:val="007872F7"/>
    <w:rsid w:val="00794534"/>
    <w:rsid w:val="007A0847"/>
    <w:rsid w:val="007B71A1"/>
    <w:rsid w:val="007C313A"/>
    <w:rsid w:val="007C4FB5"/>
    <w:rsid w:val="00843EC7"/>
    <w:rsid w:val="00860277"/>
    <w:rsid w:val="00862207"/>
    <w:rsid w:val="008664B6"/>
    <w:rsid w:val="00891D75"/>
    <w:rsid w:val="008F5E9F"/>
    <w:rsid w:val="0090575C"/>
    <w:rsid w:val="009434FB"/>
    <w:rsid w:val="0094514D"/>
    <w:rsid w:val="00950CA0"/>
    <w:rsid w:val="00992151"/>
    <w:rsid w:val="009A0094"/>
    <w:rsid w:val="009A0EF3"/>
    <w:rsid w:val="009C3AF4"/>
    <w:rsid w:val="009D0A1C"/>
    <w:rsid w:val="009D3C4F"/>
    <w:rsid w:val="009E4980"/>
    <w:rsid w:val="009F029A"/>
    <w:rsid w:val="009F322D"/>
    <w:rsid w:val="00A00E9F"/>
    <w:rsid w:val="00A05459"/>
    <w:rsid w:val="00A22AD6"/>
    <w:rsid w:val="00A4211B"/>
    <w:rsid w:val="00A62922"/>
    <w:rsid w:val="00A67D5C"/>
    <w:rsid w:val="00AA52C1"/>
    <w:rsid w:val="00AC72BF"/>
    <w:rsid w:val="00B07446"/>
    <w:rsid w:val="00B5602E"/>
    <w:rsid w:val="00B65977"/>
    <w:rsid w:val="00B830B8"/>
    <w:rsid w:val="00B853F3"/>
    <w:rsid w:val="00BC69B4"/>
    <w:rsid w:val="00C12C32"/>
    <w:rsid w:val="00C372A8"/>
    <w:rsid w:val="00C44205"/>
    <w:rsid w:val="00C61A51"/>
    <w:rsid w:val="00C6210F"/>
    <w:rsid w:val="00C87F1D"/>
    <w:rsid w:val="00CC4FF7"/>
    <w:rsid w:val="00CE0448"/>
    <w:rsid w:val="00CE5E02"/>
    <w:rsid w:val="00D0308A"/>
    <w:rsid w:val="00D11F2D"/>
    <w:rsid w:val="00D22459"/>
    <w:rsid w:val="00D25E9A"/>
    <w:rsid w:val="00D3453F"/>
    <w:rsid w:val="00D37893"/>
    <w:rsid w:val="00D5563F"/>
    <w:rsid w:val="00D614B7"/>
    <w:rsid w:val="00D71960"/>
    <w:rsid w:val="00D77623"/>
    <w:rsid w:val="00D82AF0"/>
    <w:rsid w:val="00D82B4A"/>
    <w:rsid w:val="00DB1CA6"/>
    <w:rsid w:val="00DE762D"/>
    <w:rsid w:val="00DF3F9A"/>
    <w:rsid w:val="00DF6F4C"/>
    <w:rsid w:val="00E046DF"/>
    <w:rsid w:val="00E54874"/>
    <w:rsid w:val="00E57066"/>
    <w:rsid w:val="00E67FC2"/>
    <w:rsid w:val="00E747D8"/>
    <w:rsid w:val="00E75EDD"/>
    <w:rsid w:val="00E84A52"/>
    <w:rsid w:val="00E96D05"/>
    <w:rsid w:val="00EA40F2"/>
    <w:rsid w:val="00EB22E0"/>
    <w:rsid w:val="00EB5B6E"/>
    <w:rsid w:val="00EC4EB0"/>
    <w:rsid w:val="00EF12DF"/>
    <w:rsid w:val="00EF2552"/>
    <w:rsid w:val="00F013F7"/>
    <w:rsid w:val="00F13878"/>
    <w:rsid w:val="00F433DE"/>
    <w:rsid w:val="00F43965"/>
    <w:rsid w:val="00F5768A"/>
    <w:rsid w:val="00F80B22"/>
    <w:rsid w:val="00F8315D"/>
    <w:rsid w:val="00F836F2"/>
    <w:rsid w:val="00F86AEA"/>
    <w:rsid w:val="00FA0433"/>
    <w:rsid w:val="00FA42E8"/>
    <w:rsid w:val="00FA5C4A"/>
    <w:rsid w:val="00FB134C"/>
    <w:rsid w:val="00FC4149"/>
    <w:rsid w:val="00FC66EC"/>
    <w:rsid w:val="00FD254A"/>
    <w:rsid w:val="00FE2E5D"/>
    <w:rsid w:val="00FF5471"/>
    <w:rsid w:val="1F72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0"/>
    </w:pPr>
    <w:rPr>
      <w:color w:val="2E74B5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1"/>
    </w:pPr>
    <w:rPr>
      <w:color w:val="2E74B5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2"/>
    </w:pPr>
    <w:rPr>
      <w:color w:val="1F4D78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4"/>
    </w:pPr>
    <w:rPr>
      <w:color w:val="2E74B5"/>
    </w:rPr>
  </w:style>
  <w:style w:type="paragraph" w:styleId="7">
    <w:name w:val="heading 6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5"/>
    </w:pPr>
    <w:rPr>
      <w:color w:val="1F4D78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TML Code"/>
    <w:basedOn w:val="8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2">
    <w:name w:val="HTML Preformatted"/>
    <w:basedOn w:val="1"/>
    <w:link w:val="28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</w:rPr>
  </w:style>
  <w:style w:type="character" w:styleId="13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5">
    <w:name w:val="Strong"/>
    <w:basedOn w:val="8"/>
    <w:qFormat/>
    <w:uiPriority w:val="22"/>
    <w:rPr>
      <w:b/>
      <w:bCs/>
    </w:rPr>
  </w:style>
  <w:style w:type="paragraph" w:styleId="16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7">
    <w:name w:val="Table Grid"/>
    <w:basedOn w:val="9"/>
    <w:uiPriority w:val="39"/>
    <w:rPr>
      <w:sz w:val="22"/>
      <w:szCs w:val="22"/>
      <w:lang w:val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qFormat/>
    <w:uiPriority w:val="1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color w:val="000000"/>
      <w:sz w:val="56"/>
      <w:szCs w:val="56"/>
    </w:rPr>
  </w:style>
  <w:style w:type="table" w:customStyle="1" w:styleId="19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2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_Style 13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14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_Style 15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16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17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character" w:customStyle="1" w:styleId="27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character" w:customStyle="1" w:styleId="28">
    <w:name w:val="HTML Preformatted Char"/>
    <w:basedOn w:val="8"/>
    <w:link w:val="12"/>
    <w:semiHidden/>
    <w:uiPriority w:val="99"/>
    <w:rPr>
      <w:rFonts w:ascii="Courier New" w:hAnsi="Courier New" w:eastAsia="Times New Roman" w:cs="Courier New"/>
    </w:rPr>
  </w:style>
  <w:style w:type="character" w:customStyle="1" w:styleId="29">
    <w:name w:val="ͼg"/>
    <w:basedOn w:val="8"/>
    <w:uiPriority w:val="0"/>
  </w:style>
  <w:style w:type="character" w:customStyle="1" w:styleId="30">
    <w:name w:val="ͼm"/>
    <w:basedOn w:val="8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../NUL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1687</Words>
  <Characters>10435</Characters>
  <Lines>87</Lines>
  <Paragraphs>24</Paragraphs>
  <TotalTime>1334</TotalTime>
  <ScaleCrop>false</ScaleCrop>
  <LinksUpToDate>false</LinksUpToDate>
  <CharactersWithSpaces>11827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2026-06-19T04:26:00Z</dcterms:created>
  <dc:creator>Deepa</dc:creator>
  <cp:lastModifiedBy>Lokiedit</cp:lastModifiedBy>
  <dcterms:modified xsi:type="dcterms:W3CDTF">2026-09-03T02:57:26Z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  <property fmtid="{D5CDD505-2E9C-101B-9397-08002B2CF9AE}" pid="3" name="KSOTemplateDocerSaveRecord">
    <vt:lpwstr>eyJoZGlkIjoiNTJlOTBkZTgyZTcxYWI3YjI2MzIwMmJiOGNlYWIzZjEiLCJ1c2VySWQiOiI1Njc1NzQxODIyMTcifQ==</vt:lpwstr>
  </property>
  <property fmtid="{D5CDD505-2E9C-101B-9397-08002B2CF9AE}" pid="4" name="KSOProductBuildVer">
    <vt:lpwstr>1033-12.1.0.28032</vt:lpwstr>
  </property>
  <property fmtid="{D5CDD505-2E9C-101B-9397-08002B2CF9AE}" pid="5" name="ICV">
    <vt:lpwstr>732D55F8BDE546F0A1BE53799F5BB336_12</vt:lpwstr>
  </property>
</Properties>
</file>