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5C572D">
        <w:trPr>
          <w:jc w:val="center"/>
        </w:trPr>
        <w:tc>
          <w:tcPr>
            <w:tcW w:w="4508" w:type="dxa"/>
          </w:tcPr>
          <w:p w:rsidR="005C572D" w:rsidRDefault="004E274E">
            <w:pPr>
              <w:rPr>
                <w:rFonts w:ascii="Arial" w:eastAsia="Arial" w:hAnsi="Arial" w:cs="Arial"/>
              </w:rPr>
            </w:pPr>
            <w:r>
              <w:rPr>
                <w:rFonts w:ascii="Arial" w:eastAsia="Arial" w:hAnsi="Arial" w:cs="Arial"/>
              </w:rPr>
              <w:t>Date</w:t>
            </w:r>
          </w:p>
        </w:tc>
        <w:tc>
          <w:tcPr>
            <w:tcW w:w="4843" w:type="dxa"/>
          </w:tcPr>
          <w:p w:rsidR="005C572D" w:rsidRPr="008E486C" w:rsidRDefault="008E486C">
            <w:pPr>
              <w:rPr>
                <w:rFonts w:ascii="Arial" w:eastAsia="Arial" w:hAnsi="Arial" w:cs="Arial"/>
                <w:sz w:val="40"/>
                <w:szCs w:val="40"/>
              </w:rPr>
            </w:pPr>
            <w:r>
              <w:rPr>
                <w:rFonts w:ascii="Arial" w:eastAsia="Arial" w:hAnsi="Arial" w:cs="Arial"/>
              </w:rPr>
              <w:t>21 September 2026</w:t>
            </w:r>
          </w:p>
        </w:tc>
      </w:tr>
      <w:tr w:rsidR="005C572D">
        <w:trPr>
          <w:jc w:val="center"/>
        </w:trPr>
        <w:tc>
          <w:tcPr>
            <w:tcW w:w="4508" w:type="dxa"/>
          </w:tcPr>
          <w:p w:rsidR="005C572D" w:rsidRDefault="004E274E">
            <w:pPr>
              <w:rPr>
                <w:rFonts w:ascii="Arial" w:eastAsia="Arial" w:hAnsi="Arial" w:cs="Arial"/>
              </w:rPr>
            </w:pPr>
            <w:r>
              <w:rPr>
                <w:rFonts w:ascii="Arial" w:eastAsia="Arial" w:hAnsi="Arial" w:cs="Arial"/>
              </w:rPr>
              <w:t>Team ID</w:t>
            </w:r>
          </w:p>
        </w:tc>
        <w:tc>
          <w:tcPr>
            <w:tcW w:w="4843" w:type="dxa"/>
          </w:tcPr>
          <w:p w:rsidR="005C572D" w:rsidRDefault="00A21181">
            <w:pPr>
              <w:rPr>
                <w:rFonts w:ascii="Arial" w:eastAsia="Arial" w:hAnsi="Arial" w:cs="Arial"/>
              </w:rPr>
            </w:pPr>
            <w:r>
              <w:rPr>
                <w:rFonts w:ascii="Arial" w:eastAsia="Arial" w:hAnsi="Arial" w:cs="Arial"/>
              </w:rPr>
              <w:t>Master of Computer Application</w:t>
            </w:r>
          </w:p>
        </w:tc>
      </w:tr>
      <w:tr w:rsidR="005C572D">
        <w:trPr>
          <w:jc w:val="center"/>
        </w:trPr>
        <w:tc>
          <w:tcPr>
            <w:tcW w:w="4508" w:type="dxa"/>
          </w:tcPr>
          <w:p w:rsidR="005C572D" w:rsidRDefault="004E274E">
            <w:pPr>
              <w:rPr>
                <w:rFonts w:ascii="Arial" w:eastAsia="Arial" w:hAnsi="Arial" w:cs="Arial"/>
              </w:rPr>
            </w:pPr>
            <w:r>
              <w:rPr>
                <w:rFonts w:ascii="Arial" w:eastAsia="Arial" w:hAnsi="Arial" w:cs="Arial"/>
              </w:rPr>
              <w:t>Project Name</w:t>
            </w:r>
          </w:p>
        </w:tc>
        <w:tc>
          <w:tcPr>
            <w:tcW w:w="4843" w:type="dxa"/>
          </w:tcPr>
          <w:p w:rsidR="005C572D" w:rsidRDefault="00BB0734">
            <w:pPr>
              <w:rPr>
                <w:rFonts w:ascii="Arial" w:eastAsia="Arial" w:hAnsi="Arial" w:cs="Arial"/>
              </w:rPr>
            </w:pPr>
            <w:r>
              <w:rPr>
                <w:rFonts w:ascii="Arial" w:eastAsia="Arial" w:hAnsi="Arial" w:cs="Arial"/>
              </w:rPr>
              <w:t>Online Learning Engagement and Student Performance Analysis</w:t>
            </w:r>
          </w:p>
        </w:tc>
      </w:tr>
      <w:tr w:rsidR="005C572D">
        <w:trPr>
          <w:jc w:val="center"/>
        </w:trPr>
        <w:tc>
          <w:tcPr>
            <w:tcW w:w="4508" w:type="dxa"/>
          </w:tcPr>
          <w:p w:rsidR="005C572D" w:rsidRDefault="004E274E">
            <w:pPr>
              <w:rPr>
                <w:rFonts w:ascii="Arial" w:eastAsia="Arial" w:hAnsi="Arial" w:cs="Arial"/>
              </w:rPr>
            </w:pPr>
            <w:r>
              <w:rPr>
                <w:rFonts w:ascii="Arial" w:eastAsia="Arial" w:hAnsi="Arial" w:cs="Arial"/>
              </w:rPr>
              <w:t>Maximum Marks</w:t>
            </w:r>
          </w:p>
        </w:tc>
        <w:tc>
          <w:tcPr>
            <w:tcW w:w="4843" w:type="dxa"/>
          </w:tcPr>
          <w:p w:rsidR="005C572D" w:rsidRDefault="004E274E">
            <w:pPr>
              <w:rPr>
                <w:rFonts w:ascii="Arial" w:eastAsia="Arial" w:hAnsi="Arial" w:cs="Arial"/>
              </w:rPr>
            </w:pPr>
            <w:r>
              <w:rPr>
                <w:rFonts w:ascii="Arial" w:eastAsia="Arial" w:hAnsi="Arial" w:cs="Arial"/>
              </w:rPr>
              <w:t>5 Marks</w:t>
            </w:r>
          </w:p>
        </w:tc>
      </w:tr>
    </w:tbl>
    <w:p w:rsidR="005C572D" w:rsidRDefault="005C572D">
      <w:pPr>
        <w:rPr>
          <w:rFonts w:ascii="Cambria" w:eastAsia="Cambria" w:hAnsi="Cambria" w:cs="Cambria"/>
          <w:b/>
          <w:color w:val="000000"/>
          <w:sz w:val="32"/>
          <w:szCs w:val="32"/>
        </w:rPr>
      </w:pPr>
    </w:p>
    <w:p w:rsidR="00451910" w:rsidRDefault="004E274E">
      <w:pPr>
        <w:jc w:val="both"/>
        <w:rPr>
          <w:rFonts w:ascii="Cambria" w:eastAsia="Cambria" w:hAnsi="Cambria" w:cs="Cambria"/>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In this project, Power BI is used to transform the online learning dataset of 22,422 students into interactive dashboards that show how students engage with the learning platform and how that engagement relates to their academic performance. The dataset includes region, gender, highest education, engagement level, risk level, total clicks and final result, together with measures such as Total Students, Average Score, Pass Rate, Dropout Rate and Average Clicks. Selecting appropriate visual elements, designing clear layouts and using interactive features such as decomposition trees helps instructors, advisers and managers identify learners who need support and act early.</w:t>
      </w:r>
    </w:p>
    <w:p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Business Questions and Visualisation</w:t>
      </w:r>
    </w:p>
    <w:p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The process involves defining specific business questions about learner engagement, dropout risk and academic performance to guide the creation of meaningful and actionable visualizations in Power BI. For each of the ten questions below, the report gives the visualization used, the fields behind it, a screenshot taken from the dashboards, and the insight and business value it provides. The visuals come from two dashboards: Student Performance &amp; Engagement Overview and Risk, Dropout &amp; Demographic Analysis.</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are students distributed across engagement levels?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engagement level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engagement level;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657600" cy="2723949"/>
            <wp:effectExtent l="0" t="0" r="0" b="0"/>
            <wp:docPr id="101" name="q1.png" descr="How are students distributed across engagement levels?"/>
            <wp:cNvGraphicFramePr/>
            <a:graphic xmlns:a="http://schemas.openxmlformats.org/drawingml/2006/main">
              <a:graphicData uri="http://schemas.openxmlformats.org/drawingml/2006/picture">
                <pic:pic xmlns:pic="http://schemas.openxmlformats.org/drawingml/2006/picture">
                  <pic:nvPicPr>
                    <pic:cNvPr id="101" name="q1.png"/>
                    <pic:cNvPicPr/>
                  </pic:nvPicPr>
                  <pic:blipFill>
                    <a:blip r:embed="rId6"/>
                    <a:stretch>
                      <a:fillRect/>
                    </a:stretch>
                  </pic:blipFill>
                  <pic:spPr>
                    <a:xfrm>
                      <a:off x="0" y="0"/>
                      <a:ext cx="3657600" cy="2723949"/>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Of the </w:t>
      </w:r>
      <w:r w:rsidRPr="00A21181">
        <w:rPr>
          <w:rFonts w:ascii="Cambria" w:eastAsia="Cambria" w:hAnsi="Cambria" w:cs="Cambria"/>
          <w:b/>
          <w:bCs/>
          <w:color w:val="000000"/>
          <w:sz w:val="32"/>
          <w:szCs w:val="32"/>
        </w:rPr>
        <w:t>22,422 students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8,400 (37.46%)</w:t>
      </w:r>
      <w:r w:rsidRPr="00A21181">
        <w:rPr>
          <w:rFonts w:ascii="Cambria" w:eastAsia="Cambria" w:hAnsi="Cambria" w:cs="Cambria"/>
          <w:color w:val="000000"/>
          <w:sz w:val="32"/>
          <w:szCs w:val="32"/>
        </w:rPr>
        <w:t xml:space="preserve"> have Medium engagement, </w:t>
      </w:r>
      <w:r w:rsidRPr="00A21181">
        <w:rPr>
          <w:rFonts w:ascii="Cambria" w:eastAsia="Cambria" w:hAnsi="Cambria" w:cs="Cambria"/>
          <w:b/>
          <w:bCs/>
          <w:color w:val="000000"/>
          <w:sz w:val="32"/>
          <w:szCs w:val="32"/>
        </w:rPr>
        <w:t>7,612 (33.95%)</w:t>
      </w:r>
      <w:r w:rsidRPr="00A21181">
        <w:rPr>
          <w:rFonts w:ascii="Cambria" w:eastAsia="Cambria" w:hAnsi="Cambria" w:cs="Cambria"/>
          <w:color w:val="000000"/>
          <w:sz w:val="32"/>
          <w:szCs w:val="32"/>
        </w:rPr>
        <w:t xml:space="preserve"> have High engagement and </w:t>
      </w:r>
      <w:r w:rsidRPr="00A21181">
        <w:rPr>
          <w:rFonts w:ascii="Cambria" w:eastAsia="Cambria" w:hAnsi="Cambria" w:cs="Cambria"/>
          <w:b/>
          <w:bCs/>
          <w:color w:val="000000"/>
          <w:sz w:val="32"/>
          <w:szCs w:val="32"/>
        </w:rPr>
        <w:t>6,410 (28.59%)</w:t>
      </w:r>
      <w:r w:rsidRPr="00A21181">
        <w:rPr>
          <w:rFonts w:ascii="Cambria" w:eastAsia="Cambria" w:hAnsi="Cambria" w:cs="Cambria"/>
          <w:color w:val="000000"/>
          <w:sz w:val="32"/>
          <w:szCs w:val="32"/>
        </w:rPr>
        <w:t xml:space="preserve"> have Low engagement. The split looks fairly even, but </w:t>
      </w:r>
      <w:r w:rsidRPr="00A21181">
        <w:rPr>
          <w:rFonts w:ascii="Cambria" w:eastAsia="Cambria" w:hAnsi="Cambria" w:cs="Cambria"/>
          <w:b/>
          <w:bCs/>
          <w:color w:val="000000"/>
          <w:sz w:val="32"/>
          <w:szCs w:val="32"/>
        </w:rPr>
        <w:t>14,810 students (66.05%)</w:t>
      </w:r>
      <w:r w:rsidRPr="00A21181">
        <w:rPr>
          <w:rFonts w:ascii="Cambria" w:eastAsia="Cambria" w:hAnsi="Cambria" w:cs="Cambria"/>
          <w:color w:val="000000"/>
          <w:sz w:val="32"/>
          <w:szCs w:val="32"/>
        </w:rPr>
        <w:t xml:space="preserve"> sit at Medium or Low, so about two-thirds of learners are not fully engaged with their course.</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shows how large the engagement gap is and sizes the group that should receive reminders, nudges and more interactive content.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much learning activity (clicks) does each engagement level generate?</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Sum of total clicks by engagement level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engagement level; Values – Sum of total clicks.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599848" cy="2743200"/>
            <wp:effectExtent l="0" t="0" r="0" b="0"/>
            <wp:docPr id="102" name="q2.png" descr="How much learning activity (clicks) does each engagement level generate?"/>
            <wp:cNvGraphicFramePr/>
            <a:graphic xmlns:a="http://schemas.openxmlformats.org/drawingml/2006/main">
              <a:graphicData uri="http://schemas.openxmlformats.org/drawingml/2006/picture">
                <pic:pic xmlns:pic="http://schemas.openxmlformats.org/drawingml/2006/picture">
                  <pic:nvPicPr>
                    <pic:cNvPr id="102" name="q2.png"/>
                    <pic:cNvPicPr/>
                  </pic:nvPicPr>
                  <pic:blipFill>
                    <a:blip r:embed="rId7"/>
                    <a:stretch>
                      <a:fillRect/>
                    </a:stretch>
                  </pic:blipFill>
                  <pic:spPr>
                    <a:xfrm>
                      <a:off x="0" y="0"/>
                      <a:ext cx="3599848" cy="2743200"/>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High-engagement students generate about </w:t>
      </w:r>
      <w:r w:rsidRPr="00A21181">
        <w:rPr>
          <w:rFonts w:ascii="Cambria" w:eastAsia="Cambria" w:hAnsi="Cambria" w:cs="Cambria"/>
          <w:b/>
          <w:bCs/>
          <w:color w:val="000000"/>
          <w:sz w:val="32"/>
          <w:szCs w:val="32"/>
        </w:rPr>
        <w:t>32M clicks</w:t>
      </w:r>
      <w:r w:rsidRPr="00A21181">
        <w:rPr>
          <w:rFonts w:ascii="Cambria" w:eastAsia="Cambria" w:hAnsi="Cambria" w:cs="Cambria"/>
          <w:color w:val="000000"/>
          <w:sz w:val="32"/>
          <w:szCs w:val="32"/>
        </w:rPr>
        <w:t xml:space="preserve">, compared with about </w:t>
      </w:r>
      <w:r w:rsidRPr="00A21181">
        <w:rPr>
          <w:rFonts w:ascii="Cambria" w:eastAsia="Cambria" w:hAnsi="Cambria" w:cs="Cambria"/>
          <w:b/>
          <w:bCs/>
          <w:color w:val="000000"/>
          <w:sz w:val="32"/>
          <w:szCs w:val="32"/>
        </w:rPr>
        <w:t>9M</w:t>
      </w:r>
      <w:r w:rsidRPr="00A21181">
        <w:rPr>
          <w:rFonts w:ascii="Cambria" w:eastAsia="Cambria" w:hAnsi="Cambria" w:cs="Cambria"/>
          <w:color w:val="000000"/>
          <w:sz w:val="32"/>
          <w:szCs w:val="32"/>
        </w:rPr>
        <w:t xml:space="preserve"> for Medium and about </w:t>
      </w:r>
      <w:r w:rsidRPr="00A21181">
        <w:rPr>
          <w:rFonts w:ascii="Cambria" w:eastAsia="Cambria" w:hAnsi="Cambria" w:cs="Cambria"/>
          <w:b/>
          <w:bCs/>
          <w:color w:val="000000"/>
          <w:sz w:val="32"/>
          <w:szCs w:val="32"/>
        </w:rPr>
        <w:t>2M</w:t>
      </w:r>
      <w:r w:rsidRPr="00A21181">
        <w:rPr>
          <w:rFonts w:ascii="Cambria" w:eastAsia="Cambria" w:hAnsi="Cambria" w:cs="Cambria"/>
          <w:color w:val="000000"/>
          <w:sz w:val="32"/>
          <w:szCs w:val="32"/>
        </w:rPr>
        <w:t xml:space="preserve"> for Low. That is roughly </w:t>
      </w:r>
      <w:r w:rsidRPr="00A21181">
        <w:rPr>
          <w:rFonts w:ascii="Cambria" w:eastAsia="Cambria" w:hAnsi="Cambria" w:cs="Cambria"/>
          <w:b/>
          <w:bCs/>
          <w:color w:val="000000"/>
          <w:sz w:val="32"/>
          <w:szCs w:val="32"/>
        </w:rPr>
        <w:t>three-quarters</w:t>
      </w:r>
      <w:r w:rsidRPr="00A21181">
        <w:rPr>
          <w:rFonts w:ascii="Cambria" w:eastAsia="Cambria" w:hAnsi="Cambria" w:cs="Cambria"/>
          <w:color w:val="000000"/>
          <w:sz w:val="32"/>
          <w:szCs w:val="32"/>
        </w:rPr>
        <w:t xml:space="preserve"> of all platform clicks coming from about a third of the students. Per student, this works out at roughly </w:t>
      </w:r>
      <w:r w:rsidRPr="00A21181">
        <w:rPr>
          <w:rFonts w:ascii="Cambria" w:eastAsia="Cambria" w:hAnsi="Cambria" w:cs="Cambria"/>
          <w:b/>
          <w:bCs/>
          <w:color w:val="000000"/>
          <w:sz w:val="32"/>
          <w:szCs w:val="32"/>
        </w:rPr>
        <w:t>4,000 clicks</w:t>
      </w:r>
      <w:r w:rsidRPr="00A21181">
        <w:rPr>
          <w:rFonts w:ascii="Cambria" w:eastAsia="Cambria" w:hAnsi="Cambria" w:cs="Cambria"/>
          <w:color w:val="000000"/>
          <w:sz w:val="32"/>
          <w:szCs w:val="32"/>
        </w:rPr>
        <w:t xml:space="preserve"> for High engagement, about </w:t>
      </w:r>
      <w:r w:rsidRPr="00A21181">
        <w:rPr>
          <w:rFonts w:ascii="Cambria" w:eastAsia="Cambria" w:hAnsi="Cambria" w:cs="Cambria"/>
          <w:b/>
          <w:bCs/>
          <w:color w:val="000000"/>
          <w:sz w:val="32"/>
          <w:szCs w:val="32"/>
        </w:rPr>
        <w:t>1,000</w:t>
      </w:r>
      <w:r w:rsidRPr="00A21181">
        <w:rPr>
          <w:rFonts w:ascii="Cambria" w:eastAsia="Cambria" w:hAnsi="Cambria" w:cs="Cambria"/>
          <w:color w:val="000000"/>
          <w:sz w:val="32"/>
          <w:szCs w:val="32"/>
        </w:rPr>
        <w:t xml:space="preserve"> for Medium and fewer than </w:t>
      </w:r>
      <w:r w:rsidRPr="00A21181">
        <w:rPr>
          <w:rFonts w:ascii="Cambria" w:eastAsia="Cambria" w:hAnsi="Cambria" w:cs="Cambria"/>
          <w:b/>
          <w:bCs/>
          <w:color w:val="000000"/>
          <w:sz w:val="32"/>
          <w:szCs w:val="32"/>
        </w:rPr>
        <w:t>300</w:t>
      </w:r>
      <w:r w:rsidRPr="00A21181">
        <w:rPr>
          <w:rFonts w:ascii="Cambria" w:eastAsia="Cambria" w:hAnsi="Cambria" w:cs="Cambria"/>
          <w:color w:val="000000"/>
          <w:sz w:val="32"/>
          <w:szCs w:val="32"/>
        </w:rPr>
        <w:t xml:space="preserve"> for Low.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Click activity is a clear early indicator of engagement, so a sharp drop in a student’s clicks can be used as an early-warning signal for support teams.</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is the distribution of final results (Pass, Fail, Withdrawn and Distinction)?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Total Students by final result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final result;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676850" cy="2733574"/>
            <wp:effectExtent l="0" t="0" r="0" b="0"/>
            <wp:docPr id="103" name="q3.png" descr="What is the distribution of final results (Pass, Fail, Withdrawn and Distinction)?"/>
            <wp:cNvGraphicFramePr/>
            <a:graphic xmlns:a="http://schemas.openxmlformats.org/drawingml/2006/main">
              <a:graphicData uri="http://schemas.openxmlformats.org/drawingml/2006/picture">
                <pic:pic xmlns:pic="http://schemas.openxmlformats.org/drawingml/2006/picture">
                  <pic:nvPicPr>
                    <pic:cNvPr id="103" name="q3.png"/>
                    <pic:cNvPicPr/>
                  </pic:nvPicPr>
                  <pic:blipFill>
                    <a:blip r:embed="rId8"/>
                    <a:stretch>
                      <a:fillRect/>
                    </a:stretch>
                  </pic:blipFill>
                  <pic:spPr>
                    <a:xfrm>
                      <a:off x="0" y="0"/>
                      <a:ext cx="3676850" cy="2733574"/>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Pass</w:t>
      </w:r>
      <w:r w:rsidRPr="00A21181">
        <w:rPr>
          <w:rFonts w:ascii="Cambria" w:eastAsia="Cambria" w:hAnsi="Cambria" w:cs="Cambria"/>
          <w:color w:val="000000"/>
          <w:sz w:val="32"/>
          <w:szCs w:val="32"/>
        </w:rPr>
        <w:t xml:space="preserve"> is the most common result at about </w:t>
      </w:r>
      <w:r w:rsidRPr="00A21181">
        <w:rPr>
          <w:rFonts w:ascii="Cambria" w:eastAsia="Cambria" w:hAnsi="Cambria" w:cs="Cambria"/>
          <w:b/>
          <w:bCs/>
          <w:color w:val="000000"/>
          <w:sz w:val="32"/>
          <w:szCs w:val="32"/>
        </w:rPr>
        <w:t>11K</w:t>
      </w:r>
      <w:r w:rsidRPr="00A21181">
        <w:rPr>
          <w:rFonts w:ascii="Cambria" w:eastAsia="Cambria" w:hAnsi="Cambria" w:cs="Cambria"/>
          <w:color w:val="000000"/>
          <w:sz w:val="32"/>
          <w:szCs w:val="32"/>
        </w:rPr>
        <w:t xml:space="preserve"> students, followed by </w:t>
      </w:r>
      <w:r w:rsidRPr="00A21181">
        <w:rPr>
          <w:rFonts w:ascii="Cambria" w:eastAsia="Cambria" w:hAnsi="Cambria" w:cs="Cambria"/>
          <w:b/>
          <w:bCs/>
          <w:color w:val="000000"/>
          <w:sz w:val="32"/>
          <w:szCs w:val="32"/>
        </w:rPr>
        <w:t>Fail</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5.5K</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4.7K</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Distinction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2.8K</w:t>
      </w:r>
      <w:r w:rsidRPr="00A21181">
        <w:rPr>
          <w:rFonts w:ascii="Cambria" w:eastAsia="Cambria" w:hAnsi="Cambria" w:cs="Cambria"/>
          <w:color w:val="000000"/>
          <w:sz w:val="32"/>
          <w:szCs w:val="32"/>
        </w:rPr>
        <w:t xml:space="preserve">). Roughly </w:t>
      </w:r>
      <w:r w:rsidRPr="00A21181">
        <w:rPr>
          <w:rFonts w:ascii="Cambria" w:eastAsia="Cambria" w:hAnsi="Cambria" w:cs="Cambria"/>
          <w:b/>
          <w:bCs/>
          <w:color w:val="000000"/>
          <w:sz w:val="32"/>
          <w:szCs w:val="32"/>
        </w:rPr>
        <w:t>47%</w:t>
      </w:r>
      <w:r w:rsidRPr="00A21181">
        <w:rPr>
          <w:rFonts w:ascii="Cambria" w:eastAsia="Cambria" w:hAnsi="Cambria" w:cs="Cambria"/>
          <w:color w:val="000000"/>
          <w:sz w:val="32"/>
          <w:szCs w:val="32"/>
        </w:rPr>
        <w:t xml:space="preserve"> of outcomes are </w:t>
      </w:r>
      <w:proofErr w:type="gramStart"/>
      <w:r w:rsidRPr="00A21181">
        <w:rPr>
          <w:rFonts w:ascii="Cambria" w:eastAsia="Cambria" w:hAnsi="Cambria" w:cs="Cambria"/>
          <w:color w:val="000000"/>
          <w:sz w:val="32"/>
          <w:szCs w:val="32"/>
        </w:rPr>
        <w:t>Pass</w:t>
      </w:r>
      <w:proofErr w:type="gramEnd"/>
      <w:r w:rsidRPr="00A21181">
        <w:rPr>
          <w:rFonts w:ascii="Cambria" w:eastAsia="Cambria" w:hAnsi="Cambria" w:cs="Cambria"/>
          <w:color w:val="000000"/>
          <w:sz w:val="32"/>
          <w:szCs w:val="32"/>
        </w:rPr>
        <w:t xml:space="preserve"> and about </w:t>
      </w:r>
      <w:r w:rsidRPr="00A21181">
        <w:rPr>
          <w:rFonts w:ascii="Cambria" w:eastAsia="Cambria" w:hAnsi="Cambria" w:cs="Cambria"/>
          <w:b/>
          <w:bCs/>
          <w:color w:val="000000"/>
          <w:sz w:val="32"/>
          <w:szCs w:val="32"/>
        </w:rPr>
        <w:t>11%</w:t>
      </w:r>
      <w:r w:rsidRPr="00A21181">
        <w:rPr>
          <w:rFonts w:ascii="Cambria" w:eastAsia="Cambria" w:hAnsi="Cambria" w:cs="Cambria"/>
          <w:color w:val="000000"/>
          <w:sz w:val="32"/>
          <w:szCs w:val="32"/>
        </w:rPr>
        <w:t xml:space="preserve"> are Distinction, while Fail and Withdrawn together make up around </w:t>
      </w:r>
      <w:r w:rsidRPr="00A21181">
        <w:rPr>
          <w:rFonts w:ascii="Cambria" w:eastAsia="Cambria" w:hAnsi="Cambria" w:cs="Cambria"/>
          <w:b/>
          <w:bCs/>
          <w:color w:val="000000"/>
          <w:sz w:val="32"/>
          <w:szCs w:val="32"/>
        </w:rPr>
        <w:t>41%</w:t>
      </w:r>
      <w:r w:rsidRPr="00A21181">
        <w:rPr>
          <w:rFonts w:ascii="Cambria" w:eastAsia="Cambria" w:hAnsi="Cambria" w:cs="Cambria"/>
          <w:color w:val="000000"/>
          <w:sz w:val="32"/>
          <w:szCs w:val="32"/>
        </w:rPr>
        <w:t>.</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Fail and Withdrawn together are almost as large as Pass, so course completion and retention are the biggest opportunities for improvement.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engagement level affect final results?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split by engagement level and then by final result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engagement level, final result.</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4138863" cy="3214837"/>
            <wp:effectExtent l="0" t="0" r="0" b="0"/>
            <wp:docPr id="104" name="q4.png" descr="How does engagement level affect final results?"/>
            <wp:cNvGraphicFramePr/>
            <a:graphic xmlns:a="http://schemas.openxmlformats.org/drawingml/2006/main">
              <a:graphicData uri="http://schemas.openxmlformats.org/drawingml/2006/picture">
                <pic:pic xmlns:pic="http://schemas.openxmlformats.org/drawingml/2006/picture">
                  <pic:nvPicPr>
                    <pic:cNvPr id="104" name="q4.png"/>
                    <pic:cNvPicPr/>
                  </pic:nvPicPr>
                  <pic:blipFill>
                    <a:blip r:embed="rId9"/>
                    <a:stretch>
                      <a:fillRect/>
                    </a:stretch>
                  </pic:blipFill>
                  <pic:spPr>
                    <a:xfrm>
                      <a:off x="0" y="0"/>
                      <a:ext cx="4138863" cy="3214837"/>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Selecting </w:t>
      </w:r>
      <w:r w:rsidRPr="00A21181">
        <w:rPr>
          <w:rFonts w:ascii="Cambria" w:eastAsia="Cambria" w:hAnsi="Cambria" w:cs="Cambria"/>
          <w:b/>
          <w:bCs/>
          <w:color w:val="000000"/>
          <w:sz w:val="32"/>
          <w:szCs w:val="32"/>
        </w:rPr>
        <w:t>High</w:t>
      </w:r>
      <w:r w:rsidRPr="00A21181">
        <w:rPr>
          <w:rFonts w:ascii="Cambria" w:eastAsia="Cambria" w:hAnsi="Cambria" w:cs="Cambria"/>
          <w:color w:val="000000"/>
          <w:sz w:val="32"/>
          <w:szCs w:val="32"/>
        </w:rPr>
        <w:t xml:space="preserve"> engagement (7,612 students) shows </w:t>
      </w:r>
      <w:r w:rsidRPr="00A21181">
        <w:rPr>
          <w:rFonts w:ascii="Cambria" w:eastAsia="Cambria" w:hAnsi="Cambria" w:cs="Cambria"/>
          <w:b/>
          <w:bCs/>
          <w:color w:val="000000"/>
          <w:sz w:val="32"/>
          <w:szCs w:val="32"/>
        </w:rPr>
        <w:t>Pass 5,168</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Distinction 1,595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 967</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Fail 915</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78%</w:t>
      </w:r>
      <w:r w:rsidRPr="00A21181">
        <w:rPr>
          <w:rFonts w:ascii="Cambria" w:eastAsia="Cambria" w:hAnsi="Cambria" w:cs="Cambria"/>
          <w:color w:val="000000"/>
          <w:sz w:val="32"/>
          <w:szCs w:val="32"/>
        </w:rPr>
        <w:t xml:space="preserve"> of these students finish with a Pass or Distinction and only about </w:t>
      </w:r>
      <w:r w:rsidRPr="00A21181">
        <w:rPr>
          <w:rFonts w:ascii="Cambria" w:eastAsia="Cambria" w:hAnsi="Cambria" w:cs="Cambria"/>
          <w:b/>
          <w:bCs/>
          <w:color w:val="000000"/>
          <w:sz w:val="32"/>
          <w:szCs w:val="32"/>
        </w:rPr>
        <w:t>22%</w:t>
      </w:r>
      <w:r w:rsidRPr="00A21181">
        <w:rPr>
          <w:rFonts w:ascii="Cambria" w:eastAsia="Cambria" w:hAnsi="Cambria" w:cs="Cambria"/>
          <w:color w:val="000000"/>
          <w:sz w:val="32"/>
          <w:szCs w:val="32"/>
        </w:rPr>
        <w:t xml:space="preserve"> fail or withdraw, compared with roughly </w:t>
      </w:r>
      <w:r w:rsidRPr="00A21181">
        <w:rPr>
          <w:rFonts w:ascii="Cambria" w:eastAsia="Cambria" w:hAnsi="Cambria" w:cs="Cambria"/>
          <w:b/>
          <w:bCs/>
          <w:color w:val="000000"/>
          <w:sz w:val="32"/>
          <w:szCs w:val="32"/>
        </w:rPr>
        <w:t>40%</w:t>
      </w:r>
      <w:r w:rsidRPr="00A21181">
        <w:rPr>
          <w:rFonts w:ascii="Cambria" w:eastAsia="Cambria" w:hAnsi="Cambria" w:cs="Cambria"/>
          <w:color w:val="000000"/>
          <w:sz w:val="32"/>
          <w:szCs w:val="32"/>
        </w:rPr>
        <w:t xml:space="preserve"> across all students in Question 3. The tree can be re-rooted on Medium (8,400) or Low (6,410) engagement to compare the same outcomes.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Higher engagement is associated with roughly half the rate of failure or withdrawal, which supports prioritising measures that raise engagement.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average student score vary across regions?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Average Score by region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region (13 regions); Values – Average Score.</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676850" cy="2733574"/>
            <wp:effectExtent l="0" t="0" r="0" b="0"/>
            <wp:docPr id="105" name="q5.png" descr="How does the average student score vary across regions?"/>
            <wp:cNvGraphicFramePr/>
            <a:graphic xmlns:a="http://schemas.openxmlformats.org/drawingml/2006/main">
              <a:graphicData uri="http://schemas.openxmlformats.org/drawingml/2006/picture">
                <pic:pic xmlns:pic="http://schemas.openxmlformats.org/drawingml/2006/picture">
                  <pic:nvPicPr>
                    <pic:cNvPr id="105" name="q5.png"/>
                    <pic:cNvPicPr/>
                  </pic:nvPicPr>
                  <pic:blipFill>
                    <a:blip r:embed="rId10"/>
                    <a:stretch>
                      <a:fillRect/>
                    </a:stretch>
                  </pic:blipFill>
                  <pic:spPr>
                    <a:xfrm>
                      <a:off x="0" y="0"/>
                      <a:ext cx="3676850" cy="2733574"/>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Average scores are high and tightly grouped at roughly </w:t>
      </w:r>
      <w:r w:rsidRPr="00A21181">
        <w:rPr>
          <w:rFonts w:ascii="Cambria" w:eastAsia="Cambria" w:hAnsi="Cambria" w:cs="Cambria"/>
          <w:b/>
          <w:bCs/>
          <w:color w:val="000000"/>
          <w:sz w:val="32"/>
          <w:szCs w:val="32"/>
        </w:rPr>
        <w:t>71–75</w:t>
      </w:r>
      <w:r w:rsidRPr="00A21181">
        <w:rPr>
          <w:rFonts w:ascii="Cambria" w:eastAsia="Cambria" w:hAnsi="Cambria" w:cs="Cambria"/>
          <w:color w:val="000000"/>
          <w:sz w:val="32"/>
          <w:szCs w:val="32"/>
        </w:rPr>
        <w:t xml:space="preserve"> in all </w:t>
      </w:r>
      <w:r w:rsidRPr="00A21181">
        <w:rPr>
          <w:rFonts w:ascii="Cambria" w:eastAsia="Cambria" w:hAnsi="Cambria" w:cs="Cambria"/>
          <w:b/>
          <w:bCs/>
          <w:color w:val="000000"/>
          <w:sz w:val="32"/>
          <w:szCs w:val="32"/>
        </w:rPr>
        <w:t>13 regions</w:t>
      </w:r>
      <w:r w:rsidRPr="00A21181">
        <w:rPr>
          <w:rFonts w:ascii="Cambria" w:eastAsia="Cambria" w:hAnsi="Cambria" w:cs="Cambria"/>
          <w:color w:val="000000"/>
          <w:sz w:val="32"/>
          <w:szCs w:val="32"/>
        </w:rPr>
        <w:t xml:space="preserve">. The </w:t>
      </w:r>
      <w:r w:rsidRPr="00A21181">
        <w:rPr>
          <w:rFonts w:ascii="Cambria" w:eastAsia="Cambria" w:hAnsi="Cambria" w:cs="Cambria"/>
          <w:b/>
          <w:bCs/>
          <w:color w:val="000000"/>
          <w:sz w:val="32"/>
          <w:szCs w:val="32"/>
        </w:rPr>
        <w:t>South East Region</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Scotland</w:t>
      </w:r>
      <w:r w:rsidRPr="00A21181">
        <w:rPr>
          <w:rFonts w:ascii="Cambria" w:eastAsia="Cambria" w:hAnsi="Cambria" w:cs="Cambria"/>
          <w:color w:val="000000"/>
          <w:sz w:val="32"/>
          <w:szCs w:val="32"/>
        </w:rPr>
        <w:t xml:space="preserve"> are at the top and the </w:t>
      </w:r>
      <w:r w:rsidRPr="00A21181">
        <w:rPr>
          <w:rFonts w:ascii="Cambria" w:eastAsia="Cambria" w:hAnsi="Cambria" w:cs="Cambria"/>
          <w:b/>
          <w:bCs/>
          <w:color w:val="000000"/>
          <w:sz w:val="32"/>
          <w:szCs w:val="32"/>
        </w:rPr>
        <w:t>North Region</w:t>
      </w:r>
      <w:r w:rsidRPr="00A21181">
        <w:rPr>
          <w:rFonts w:ascii="Cambria" w:eastAsia="Cambria" w:hAnsi="Cambria" w:cs="Cambria"/>
          <w:color w:val="000000"/>
          <w:sz w:val="32"/>
          <w:szCs w:val="32"/>
        </w:rPr>
        <w:t xml:space="preserve"> is lowest, a spread of only about four points.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Because regional differences are small, support should be targeted using engagement, risk and education level rather than region.</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share of students falls into each risk level?</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risk level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risk level;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4446871" cy="2618071"/>
            <wp:effectExtent l="0" t="0" r="0" b="0"/>
            <wp:docPr id="106" name="q6.png" descr="What share of students falls into each risk level?"/>
            <wp:cNvGraphicFramePr/>
            <a:graphic xmlns:a="http://schemas.openxmlformats.org/drawingml/2006/main">
              <a:graphicData uri="http://schemas.openxmlformats.org/drawingml/2006/picture">
                <pic:pic xmlns:pic="http://schemas.openxmlformats.org/drawingml/2006/picture">
                  <pic:nvPicPr>
                    <pic:cNvPr id="106" name="q6.png"/>
                    <pic:cNvPicPr/>
                  </pic:nvPicPr>
                  <pic:blipFill>
                    <a:blip r:embed="rId11"/>
                    <a:stretch>
                      <a:fillRect/>
                    </a:stretch>
                  </pic:blipFill>
                  <pic:spPr>
                    <a:xfrm>
                      <a:off x="0" y="0"/>
                      <a:ext cx="4446871" cy="2618071"/>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High Risk</w:t>
      </w:r>
      <w:r w:rsidRPr="00A21181">
        <w:rPr>
          <w:rFonts w:ascii="Cambria" w:eastAsia="Cambria" w:hAnsi="Cambria" w:cs="Cambria"/>
          <w:color w:val="000000"/>
          <w:sz w:val="32"/>
          <w:szCs w:val="32"/>
        </w:rPr>
        <w:t xml:space="preserve"> has </w:t>
      </w:r>
      <w:r w:rsidRPr="00A21181">
        <w:rPr>
          <w:rFonts w:ascii="Cambria" w:eastAsia="Cambria" w:hAnsi="Cambria" w:cs="Cambria"/>
          <w:b/>
          <w:bCs/>
          <w:color w:val="000000"/>
          <w:sz w:val="32"/>
          <w:szCs w:val="32"/>
        </w:rPr>
        <w:t>6,391 students (28.5%)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(27.2%), </w:t>
      </w:r>
      <w:r w:rsidRPr="00A21181">
        <w:rPr>
          <w:rFonts w:ascii="Cambria" w:eastAsia="Cambria" w:hAnsi="Cambria" w:cs="Cambria"/>
          <w:b/>
          <w:bCs/>
          <w:color w:val="000000"/>
          <w:sz w:val="32"/>
          <w:szCs w:val="32"/>
        </w:rPr>
        <w:t>Safe</w:t>
      </w:r>
      <w:r w:rsidRPr="00A21181">
        <w:rPr>
          <w:rFonts w:ascii="Cambria" w:eastAsia="Cambria" w:hAnsi="Cambria" w:cs="Cambria"/>
          <w:color w:val="000000"/>
          <w:sz w:val="32"/>
          <w:szCs w:val="32"/>
        </w:rPr>
        <w:t xml:space="preserve"> 5,632 (25.12%) and </w:t>
      </w:r>
      <w:r w:rsidRPr="00A21181">
        <w:rPr>
          <w:rFonts w:ascii="Cambria" w:eastAsia="Cambria" w:hAnsi="Cambria" w:cs="Cambria"/>
          <w:b/>
          <w:bCs/>
          <w:color w:val="000000"/>
          <w:sz w:val="32"/>
          <w:szCs w:val="32"/>
        </w:rPr>
        <w:t>Very High Risk</w:t>
      </w:r>
      <w:r w:rsidRPr="00A21181">
        <w:rPr>
          <w:rFonts w:ascii="Cambria" w:eastAsia="Cambria" w:hAnsi="Cambria" w:cs="Cambria"/>
          <w:color w:val="000000"/>
          <w:sz w:val="32"/>
          <w:szCs w:val="32"/>
        </w:rPr>
        <w:t xml:space="preserve"> 4,300 (19.18%). High Risk and Very High Risk together account for </w:t>
      </w:r>
      <w:r w:rsidRPr="00A21181">
        <w:rPr>
          <w:rFonts w:ascii="Cambria" w:eastAsia="Cambria" w:hAnsi="Cambria" w:cs="Cambria"/>
          <w:b/>
          <w:bCs/>
          <w:color w:val="000000"/>
          <w:sz w:val="32"/>
          <w:szCs w:val="32"/>
        </w:rPr>
        <w:t>10,691 students, about 48%</w:t>
      </w:r>
      <w:r w:rsidRPr="00A21181">
        <w:rPr>
          <w:rFonts w:ascii="Cambria" w:eastAsia="Cambria" w:hAnsi="Cambria" w:cs="Cambria"/>
          <w:color w:val="000000"/>
          <w:sz w:val="32"/>
          <w:szCs w:val="32"/>
        </w:rPr>
        <w:t xml:space="preserve"> of all learners.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sizes the intervention workload for advisers and helps them decide which at-risk groups to contact first.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Which types of students make up a risk level (by education, gender and region)?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by risk level, then highest education, gender and region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xml:space="preserve">: Analyze – Total Students; Explain by – risk level, highest education, gender, </w:t>
      </w:r>
      <w:proofErr w:type="gramStart"/>
      <w:r w:rsidRPr="00A21181">
        <w:rPr>
          <w:rFonts w:ascii="Cambria" w:eastAsia="Cambria" w:hAnsi="Cambria" w:cs="Cambria"/>
          <w:color w:val="000000"/>
          <w:sz w:val="32"/>
          <w:szCs w:val="32"/>
        </w:rPr>
        <w:t>region</w:t>
      </w:r>
      <w:proofErr w:type="gramEnd"/>
      <w:r w:rsidRPr="00A21181">
        <w:rPr>
          <w:rFonts w:ascii="Cambria" w:eastAsia="Cambria" w:hAnsi="Cambria" w:cs="Cambria"/>
          <w:color w:val="000000"/>
          <w:sz w:val="32"/>
          <w:szCs w:val="32"/>
        </w:rPr>
        <w:t>.</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4937760" cy="2272172"/>
            <wp:effectExtent l="0" t="0" r="0" b="0"/>
            <wp:docPr id="107" name="q7.png" descr="Which types of students make up a risk level (by education, gender and region)?"/>
            <wp:cNvGraphicFramePr/>
            <a:graphic xmlns:a="http://schemas.openxmlformats.org/drawingml/2006/main">
              <a:graphicData uri="http://schemas.openxmlformats.org/drawingml/2006/picture">
                <pic:pic xmlns:pic="http://schemas.openxmlformats.org/drawingml/2006/picture">
                  <pic:nvPicPr>
                    <pic:cNvPr id="107" name="q7.png"/>
                    <pic:cNvPicPr/>
                  </pic:nvPicPr>
                  <pic:blipFill>
                    <a:blip r:embed="rId12"/>
                    <a:stretch>
                      <a:fillRect/>
                    </a:stretch>
                  </pic:blipFill>
                  <pic:spPr>
                    <a:xfrm>
                      <a:off x="0" y="0"/>
                      <a:ext cx="4937760" cy="2272172"/>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Drilling into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students) shows education groups of </w:t>
      </w:r>
      <w:r w:rsidRPr="00A21181">
        <w:rPr>
          <w:rFonts w:ascii="Cambria" w:eastAsia="Cambria" w:hAnsi="Cambria" w:cs="Cambria"/>
          <w:b/>
          <w:bCs/>
          <w:color w:val="000000"/>
          <w:sz w:val="32"/>
          <w:szCs w:val="32"/>
        </w:rPr>
        <w:t>A Level or Equivalent (2,834)</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 xml:space="preserve">Lower Than </w:t>
      </w:r>
      <w:proofErr w:type="gramStart"/>
      <w:r w:rsidRPr="00A21181">
        <w:rPr>
          <w:rFonts w:ascii="Cambria" w:eastAsia="Cambria" w:hAnsi="Cambria" w:cs="Cambria"/>
          <w:b/>
          <w:bCs/>
          <w:color w:val="000000"/>
          <w:sz w:val="32"/>
          <w:szCs w:val="32"/>
        </w:rPr>
        <w:t>A</w:t>
      </w:r>
      <w:proofErr w:type="gramEnd"/>
      <w:r w:rsidRPr="00A21181">
        <w:rPr>
          <w:rFonts w:ascii="Cambria" w:eastAsia="Cambria" w:hAnsi="Cambria" w:cs="Cambria"/>
          <w:b/>
          <w:bCs/>
          <w:color w:val="000000"/>
          <w:sz w:val="32"/>
          <w:szCs w:val="32"/>
        </w:rPr>
        <w:t xml:space="preserve"> Level (2,172)</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HE Qualification (1,016)</w:t>
      </w:r>
      <w:r w:rsidRPr="00A21181">
        <w:rPr>
          <w:rFonts w:ascii="Cambria" w:eastAsia="Cambria" w:hAnsi="Cambria" w:cs="Cambria"/>
          <w:color w:val="000000"/>
          <w:sz w:val="32"/>
          <w:szCs w:val="32"/>
        </w:rPr>
        <w:t xml:space="preserve">, with only </w:t>
      </w:r>
      <w:r w:rsidRPr="00A21181">
        <w:rPr>
          <w:rFonts w:ascii="Cambria" w:eastAsia="Cambria" w:hAnsi="Cambria" w:cs="Cambria"/>
          <w:b/>
          <w:bCs/>
          <w:color w:val="000000"/>
          <w:sz w:val="32"/>
          <w:szCs w:val="32"/>
        </w:rPr>
        <w:t>39</w:t>
      </w:r>
      <w:r w:rsidRPr="00A21181">
        <w:rPr>
          <w:rFonts w:ascii="Cambria" w:eastAsia="Cambria" w:hAnsi="Cambria" w:cs="Cambria"/>
          <w:color w:val="000000"/>
          <w:sz w:val="32"/>
          <w:szCs w:val="32"/>
        </w:rPr>
        <w:t xml:space="preserve"> students holding No Formal quals. Within HE Qualification, </w:t>
      </w:r>
      <w:r w:rsidRPr="00A21181">
        <w:rPr>
          <w:rFonts w:ascii="Cambria" w:eastAsia="Cambria" w:hAnsi="Cambria" w:cs="Cambria"/>
          <w:b/>
          <w:bCs/>
          <w:color w:val="000000"/>
          <w:sz w:val="32"/>
          <w:szCs w:val="32"/>
        </w:rPr>
        <w:t>612</w:t>
      </w:r>
      <w:r w:rsidRPr="00A21181">
        <w:rPr>
          <w:rFonts w:ascii="Cambria" w:eastAsia="Cambria" w:hAnsi="Cambria" w:cs="Cambria"/>
          <w:color w:val="000000"/>
          <w:sz w:val="32"/>
          <w:szCs w:val="32"/>
        </w:rPr>
        <w:t xml:space="preserve"> are male and </w:t>
      </w:r>
      <w:r w:rsidRPr="00A21181">
        <w:rPr>
          <w:rFonts w:ascii="Cambria" w:eastAsia="Cambria" w:hAnsi="Cambria" w:cs="Cambria"/>
          <w:b/>
          <w:bCs/>
          <w:color w:val="000000"/>
          <w:sz w:val="32"/>
          <w:szCs w:val="32"/>
        </w:rPr>
        <w:t>404</w:t>
      </w:r>
      <w:r w:rsidRPr="00A21181">
        <w:rPr>
          <w:rFonts w:ascii="Cambria" w:eastAsia="Cambria" w:hAnsi="Cambria" w:cs="Cambria"/>
          <w:color w:val="000000"/>
          <w:sz w:val="32"/>
          <w:szCs w:val="32"/>
        </w:rPr>
        <w:t xml:space="preserve"> are female; among the women, </w:t>
      </w:r>
      <w:r w:rsidRPr="00A21181">
        <w:rPr>
          <w:rFonts w:ascii="Cambria" w:eastAsia="Cambria" w:hAnsi="Cambria" w:cs="Cambria"/>
          <w:b/>
          <w:bCs/>
          <w:color w:val="000000"/>
          <w:sz w:val="32"/>
          <w:szCs w:val="32"/>
        </w:rPr>
        <w:t>Scotland (116)</w:t>
      </w:r>
      <w:r w:rsidRPr="00A21181">
        <w:rPr>
          <w:rFonts w:ascii="Cambria" w:eastAsia="Cambria" w:hAnsi="Cambria" w:cs="Cambria"/>
          <w:color w:val="000000"/>
          <w:sz w:val="32"/>
          <w:szCs w:val="32"/>
        </w:rPr>
        <w:t xml:space="preserve"> has the most, followed by </w:t>
      </w:r>
      <w:r w:rsidRPr="00A21181">
        <w:rPr>
          <w:rFonts w:ascii="Cambria" w:eastAsia="Cambria" w:hAnsi="Cambria" w:cs="Cambria"/>
          <w:b/>
          <w:bCs/>
          <w:color w:val="000000"/>
          <w:sz w:val="32"/>
          <w:szCs w:val="32"/>
        </w:rPr>
        <w:t>Wales (45)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London Region (43)</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East Anglian Region (31)</w:t>
      </w:r>
      <w:r w:rsidRPr="00A21181">
        <w:rPr>
          <w:rFonts w:ascii="Cambria" w:eastAsia="Cambria" w:hAnsi="Cambria" w:cs="Cambria"/>
          <w:color w:val="000000"/>
          <w:sz w:val="32"/>
          <w:szCs w:val="32"/>
        </w:rPr>
        <w:t>.</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Advisers can drill into any risk segment and see exactly who is in it, so support can be aimed at the right group and region.</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dropout rate vary with students’ highest education?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Dropout Rate by highest education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Dropout Rate.</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455469" cy="2618071"/>
            <wp:effectExtent l="0" t="0" r="0" b="0"/>
            <wp:docPr id="108" name="q8.png" descr="How does the dropout rate vary with students’ highest education?"/>
            <wp:cNvGraphicFramePr/>
            <a:graphic xmlns:a="http://schemas.openxmlformats.org/drawingml/2006/main">
              <a:graphicData uri="http://schemas.openxmlformats.org/drawingml/2006/picture">
                <pic:pic xmlns:pic="http://schemas.openxmlformats.org/drawingml/2006/picture">
                  <pic:nvPicPr>
                    <pic:cNvPr id="108" name="q8.png"/>
                    <pic:cNvPicPr/>
                  </pic:nvPicPr>
                  <pic:blipFill>
                    <a:blip r:embed="rId13"/>
                    <a:stretch>
                      <a:fillRect/>
                    </a:stretch>
                  </pic:blipFill>
                  <pic:spPr>
                    <a:xfrm>
                      <a:off x="0" y="0"/>
                      <a:ext cx="3455469" cy="2618071"/>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Dropout falls steadily as prior education rises: about </w:t>
      </w:r>
      <w:r w:rsidRPr="00A21181">
        <w:rPr>
          <w:rFonts w:ascii="Cambria" w:eastAsia="Cambria" w:hAnsi="Cambria" w:cs="Cambria"/>
          <w:b/>
          <w:bCs/>
          <w:color w:val="000000"/>
          <w:sz w:val="32"/>
          <w:szCs w:val="32"/>
        </w:rPr>
        <w:t>28%</w:t>
      </w:r>
      <w:r w:rsidRPr="00A21181">
        <w:rPr>
          <w:rFonts w:ascii="Cambria" w:eastAsia="Cambria" w:hAnsi="Cambria" w:cs="Cambria"/>
          <w:color w:val="000000"/>
          <w:sz w:val="32"/>
          <w:szCs w:val="32"/>
        </w:rPr>
        <w:t xml:space="preserve"> for </w:t>
      </w:r>
      <w:r w:rsidRPr="00A21181">
        <w:rPr>
          <w:rFonts w:ascii="Cambria" w:eastAsia="Cambria" w:hAnsi="Cambria" w:cs="Cambria"/>
          <w:b/>
          <w:bCs/>
          <w:color w:val="000000"/>
          <w:sz w:val="32"/>
          <w:szCs w:val="32"/>
        </w:rPr>
        <w:t>No Formal quals</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24%</w:t>
      </w:r>
      <w:r w:rsidRPr="00A21181">
        <w:rPr>
          <w:rFonts w:ascii="Cambria" w:eastAsia="Cambria" w:hAnsi="Cambria" w:cs="Cambria"/>
          <w:color w:val="000000"/>
          <w:sz w:val="32"/>
          <w:szCs w:val="32"/>
        </w:rPr>
        <w:t xml:space="preserve"> for Lower </w:t>
      </w:r>
      <w:proofErr w:type="gramStart"/>
      <w:r w:rsidRPr="00A21181">
        <w:rPr>
          <w:rFonts w:ascii="Cambria" w:eastAsia="Cambria" w:hAnsi="Cambria" w:cs="Cambria"/>
          <w:color w:val="000000"/>
          <w:sz w:val="32"/>
          <w:szCs w:val="32"/>
        </w:rPr>
        <w:t>Than A</w:t>
      </w:r>
      <w:proofErr w:type="gramEnd"/>
      <w:r w:rsidRPr="00A21181">
        <w:rPr>
          <w:rFonts w:ascii="Cambria" w:eastAsia="Cambria" w:hAnsi="Cambria" w:cs="Cambria"/>
          <w:color w:val="000000"/>
          <w:sz w:val="32"/>
          <w:szCs w:val="32"/>
        </w:rPr>
        <w:t xml:space="preserve"> Level, about </w:t>
      </w:r>
      <w:r w:rsidRPr="00A21181">
        <w:rPr>
          <w:rFonts w:ascii="Cambria" w:eastAsia="Cambria" w:hAnsi="Cambria" w:cs="Cambria"/>
          <w:b/>
          <w:bCs/>
          <w:color w:val="000000"/>
          <w:sz w:val="32"/>
          <w:szCs w:val="32"/>
        </w:rPr>
        <w:t>20%</w:t>
      </w:r>
      <w:r w:rsidRPr="00A21181">
        <w:rPr>
          <w:rFonts w:ascii="Cambria" w:eastAsia="Cambria" w:hAnsi="Cambria" w:cs="Cambria"/>
          <w:color w:val="000000"/>
          <w:sz w:val="32"/>
          <w:szCs w:val="32"/>
        </w:rPr>
        <w:t xml:space="preserve"> for both A Level or Equivalent and HE Qualification, and about </w:t>
      </w:r>
      <w:r w:rsidRPr="00A21181">
        <w:rPr>
          <w:rFonts w:ascii="Cambria" w:eastAsia="Cambria" w:hAnsi="Cambria" w:cs="Cambria"/>
          <w:b/>
          <w:bCs/>
          <w:color w:val="000000"/>
          <w:sz w:val="32"/>
          <w:szCs w:val="32"/>
        </w:rPr>
        <w:t>18%</w:t>
      </w:r>
      <w:r w:rsidRPr="00A21181">
        <w:rPr>
          <w:rFonts w:ascii="Cambria" w:eastAsia="Cambria" w:hAnsi="Cambria" w:cs="Cambria"/>
          <w:color w:val="000000"/>
          <w:sz w:val="32"/>
          <w:szCs w:val="32"/>
        </w:rPr>
        <w:t xml:space="preserve"> for Post Graduate. Learners with no formal qualifications drop out about </w:t>
      </w:r>
      <w:r w:rsidRPr="00A21181">
        <w:rPr>
          <w:rFonts w:ascii="Cambria" w:eastAsia="Cambria" w:hAnsi="Cambria" w:cs="Cambria"/>
          <w:b/>
          <w:bCs/>
          <w:color w:val="000000"/>
          <w:sz w:val="32"/>
          <w:szCs w:val="32"/>
        </w:rPr>
        <w:t>1.5 times</w:t>
      </w:r>
      <w:r w:rsidRPr="00A21181">
        <w:rPr>
          <w:rFonts w:ascii="Cambria" w:eastAsia="Cambria" w:hAnsi="Cambria" w:cs="Cambria"/>
          <w:color w:val="000000"/>
          <w:sz w:val="32"/>
          <w:szCs w:val="32"/>
        </w:rPr>
        <w:t xml:space="preserve"> as often as post-graduates.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Learners with weaker educational backgrounds are the group most in need of bridging modules, mentoring and study-skills support.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pass rate vary with students’ highest education?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Pass Rate by highest education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Pass Rate.</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744227" cy="2849077"/>
            <wp:effectExtent l="0" t="0" r="0" b="0"/>
            <wp:docPr id="109" name="q9.png" descr="How does the pass rate vary with students’ highest education?"/>
            <wp:cNvGraphicFramePr/>
            <a:graphic xmlns:a="http://schemas.openxmlformats.org/drawingml/2006/main">
              <a:graphicData uri="http://schemas.openxmlformats.org/drawingml/2006/picture">
                <pic:pic xmlns:pic="http://schemas.openxmlformats.org/drawingml/2006/picture">
                  <pic:nvPicPr>
                    <pic:cNvPr id="109" name="q9.png"/>
                    <pic:cNvPicPr/>
                  </pic:nvPicPr>
                  <pic:blipFill>
                    <a:blip r:embed="rId14"/>
                    <a:stretch>
                      <a:fillRect/>
                    </a:stretch>
                  </pic:blipFill>
                  <pic:spPr>
                    <a:xfrm>
                      <a:off x="0" y="0"/>
                      <a:ext cx="3744227" cy="2849077"/>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The pass rate rises with prior education: about </w:t>
      </w:r>
      <w:r w:rsidRPr="00A21181">
        <w:rPr>
          <w:rFonts w:ascii="Cambria" w:eastAsia="Cambria" w:hAnsi="Cambria" w:cs="Cambria"/>
          <w:b/>
          <w:bCs/>
          <w:color w:val="000000"/>
          <w:sz w:val="32"/>
          <w:szCs w:val="32"/>
        </w:rPr>
        <w:t>67%</w:t>
      </w:r>
      <w:r w:rsidRPr="00A21181">
        <w:rPr>
          <w:rFonts w:ascii="Cambria" w:eastAsia="Cambria" w:hAnsi="Cambria" w:cs="Cambria"/>
          <w:color w:val="000000"/>
          <w:sz w:val="32"/>
          <w:szCs w:val="32"/>
        </w:rPr>
        <w:t xml:space="preserve"> for Post Graduate, </w:t>
      </w:r>
      <w:r w:rsidRPr="00A21181">
        <w:rPr>
          <w:rFonts w:ascii="Cambria" w:eastAsia="Cambria" w:hAnsi="Cambria" w:cs="Cambria"/>
          <w:b/>
          <w:bCs/>
          <w:color w:val="000000"/>
          <w:sz w:val="32"/>
          <w:szCs w:val="32"/>
        </w:rPr>
        <w:t>65%</w:t>
      </w:r>
      <w:r w:rsidRPr="00A21181">
        <w:rPr>
          <w:rFonts w:ascii="Cambria" w:eastAsia="Cambria" w:hAnsi="Cambria" w:cs="Cambria"/>
          <w:color w:val="000000"/>
          <w:sz w:val="32"/>
          <w:szCs w:val="32"/>
        </w:rPr>
        <w:t xml:space="preserve"> for HE Qualification, </w:t>
      </w:r>
      <w:r w:rsidRPr="00A21181">
        <w:rPr>
          <w:rFonts w:ascii="Cambria" w:eastAsia="Cambria" w:hAnsi="Cambria" w:cs="Cambria"/>
          <w:b/>
          <w:bCs/>
          <w:color w:val="000000"/>
          <w:sz w:val="32"/>
          <w:szCs w:val="32"/>
        </w:rPr>
        <w:t>62%</w:t>
      </w:r>
      <w:r w:rsidRPr="00A21181">
        <w:rPr>
          <w:rFonts w:ascii="Cambria" w:eastAsia="Cambria" w:hAnsi="Cambria" w:cs="Cambria"/>
          <w:color w:val="000000"/>
          <w:sz w:val="32"/>
          <w:szCs w:val="32"/>
        </w:rPr>
        <w:t xml:space="preserve"> for A Level or Equivalent, </w:t>
      </w:r>
      <w:r w:rsidRPr="00A21181">
        <w:rPr>
          <w:rFonts w:ascii="Cambria" w:eastAsia="Cambria" w:hAnsi="Cambria" w:cs="Cambria"/>
          <w:b/>
          <w:bCs/>
          <w:color w:val="000000"/>
          <w:sz w:val="32"/>
          <w:szCs w:val="32"/>
        </w:rPr>
        <w:t>50%</w:t>
      </w:r>
      <w:r w:rsidRPr="00A21181">
        <w:rPr>
          <w:rFonts w:ascii="Cambria" w:eastAsia="Cambria" w:hAnsi="Cambria" w:cs="Cambria"/>
          <w:color w:val="000000"/>
          <w:sz w:val="32"/>
          <w:szCs w:val="32"/>
        </w:rPr>
        <w:t xml:space="preserve"> for Lower </w:t>
      </w:r>
      <w:proofErr w:type="gramStart"/>
      <w:r w:rsidRPr="00A21181">
        <w:rPr>
          <w:rFonts w:ascii="Cambria" w:eastAsia="Cambria" w:hAnsi="Cambria" w:cs="Cambria"/>
          <w:color w:val="000000"/>
          <w:sz w:val="32"/>
          <w:szCs w:val="32"/>
        </w:rPr>
        <w:t>Than A</w:t>
      </w:r>
      <w:proofErr w:type="gramEnd"/>
      <w:r w:rsidRPr="00A21181">
        <w:rPr>
          <w:rFonts w:ascii="Cambria" w:eastAsia="Cambria" w:hAnsi="Cambria" w:cs="Cambria"/>
          <w:color w:val="000000"/>
          <w:sz w:val="32"/>
          <w:szCs w:val="32"/>
        </w:rPr>
        <w:t xml:space="preserve"> Level and only about </w:t>
      </w:r>
      <w:r w:rsidRPr="00A21181">
        <w:rPr>
          <w:rFonts w:ascii="Cambria" w:eastAsia="Cambria" w:hAnsi="Cambria" w:cs="Cambria"/>
          <w:b/>
          <w:bCs/>
          <w:color w:val="000000"/>
          <w:sz w:val="32"/>
          <w:szCs w:val="32"/>
        </w:rPr>
        <w:t>42%</w:t>
      </w:r>
      <w:r w:rsidRPr="00A21181">
        <w:rPr>
          <w:rFonts w:ascii="Cambria" w:eastAsia="Cambria" w:hAnsi="Cambria" w:cs="Cambria"/>
          <w:color w:val="000000"/>
          <w:sz w:val="32"/>
          <w:szCs w:val="32"/>
        </w:rPr>
        <w:t xml:space="preserve"> for No Formal quals, a gap of roughly </w:t>
      </w:r>
      <w:r w:rsidRPr="00A21181">
        <w:rPr>
          <w:rFonts w:ascii="Cambria" w:eastAsia="Cambria" w:hAnsi="Cambria" w:cs="Cambria"/>
          <w:b/>
          <w:bCs/>
          <w:color w:val="000000"/>
          <w:sz w:val="32"/>
          <w:szCs w:val="32"/>
        </w:rPr>
        <w:t>25 percentage points</w:t>
      </w:r>
      <w:r w:rsidRPr="00A21181">
        <w:rPr>
          <w:rFonts w:ascii="Cambria" w:eastAsia="Cambria" w:hAnsi="Cambria" w:cs="Cambria"/>
          <w:color w:val="000000"/>
          <w:sz w:val="32"/>
          <w:szCs w:val="32"/>
        </w:rPr>
        <w:t>. This mirrors the dropout pattern in Question 8.</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Together with Question 8, this confirms prior education as a key driver of success and supports targeted academic support.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Do final results differ between male and female students?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100% stacked bar chart showing Total Students by gender and final result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gender; Legend – final result;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715351" cy="2618071"/>
            <wp:effectExtent l="0" t="0" r="0" b="0"/>
            <wp:docPr id="110" name="q10.png" descr="Do final results differ between male and female students?"/>
            <wp:cNvGraphicFramePr/>
            <a:graphic xmlns:a="http://schemas.openxmlformats.org/drawingml/2006/main">
              <a:graphicData uri="http://schemas.openxmlformats.org/drawingml/2006/picture">
                <pic:pic xmlns:pic="http://schemas.openxmlformats.org/drawingml/2006/picture">
                  <pic:nvPicPr>
                    <pic:cNvPr id="110" name="q10.png"/>
                    <pic:cNvPicPr/>
                  </pic:nvPicPr>
                  <pic:blipFill>
                    <a:blip r:embed="rId15"/>
                    <a:stretch>
                      <a:fillRect/>
                    </a:stretch>
                  </pic:blipFill>
                  <pic:spPr>
                    <a:xfrm>
                      <a:off x="0" y="0"/>
                      <a:ext cx="3715351" cy="2618071"/>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Outcome patterns are broadly similar, but female students do slightly better: about </w:t>
      </w:r>
      <w:r w:rsidRPr="00A21181">
        <w:rPr>
          <w:rFonts w:ascii="Cambria" w:eastAsia="Cambria" w:hAnsi="Cambria" w:cs="Cambria"/>
          <w:b/>
          <w:bCs/>
          <w:color w:val="000000"/>
          <w:sz w:val="32"/>
          <w:szCs w:val="32"/>
        </w:rPr>
        <w:t>49%</w:t>
      </w:r>
      <w:r w:rsidRPr="00A21181">
        <w:rPr>
          <w:rFonts w:ascii="Cambria" w:eastAsia="Cambria" w:hAnsi="Cambria" w:cs="Cambria"/>
          <w:color w:val="000000"/>
          <w:sz w:val="32"/>
          <w:szCs w:val="32"/>
        </w:rPr>
        <w:t xml:space="preserve"> of women Pass compared with about </w:t>
      </w:r>
      <w:r w:rsidRPr="00A21181">
        <w:rPr>
          <w:rFonts w:ascii="Cambria" w:eastAsia="Cambria" w:hAnsi="Cambria" w:cs="Cambria"/>
          <w:b/>
          <w:bCs/>
          <w:color w:val="000000"/>
          <w:sz w:val="32"/>
          <w:szCs w:val="32"/>
        </w:rPr>
        <w:t>45%</w:t>
      </w:r>
      <w:r w:rsidRPr="00A21181">
        <w:rPr>
          <w:rFonts w:ascii="Cambria" w:eastAsia="Cambria" w:hAnsi="Cambria" w:cs="Cambria"/>
          <w:color w:val="000000"/>
          <w:sz w:val="32"/>
          <w:szCs w:val="32"/>
        </w:rPr>
        <w:t xml:space="preserve"> of men, and about </w:t>
      </w:r>
      <w:r w:rsidRPr="00A21181">
        <w:rPr>
          <w:rFonts w:ascii="Cambria" w:eastAsia="Cambria" w:hAnsi="Cambria" w:cs="Cambria"/>
          <w:b/>
          <w:bCs/>
          <w:color w:val="000000"/>
          <w:sz w:val="32"/>
          <w:szCs w:val="32"/>
        </w:rPr>
        <w:t>17%</w:t>
      </w:r>
      <w:r w:rsidRPr="00A21181">
        <w:rPr>
          <w:rFonts w:ascii="Cambria" w:eastAsia="Cambria" w:hAnsi="Cambria" w:cs="Cambria"/>
          <w:color w:val="000000"/>
          <w:sz w:val="32"/>
          <w:szCs w:val="32"/>
        </w:rPr>
        <w:t xml:space="preserve"> of women Withdraw compared with about </w:t>
      </w:r>
      <w:r w:rsidRPr="00A21181">
        <w:rPr>
          <w:rFonts w:ascii="Cambria" w:eastAsia="Cambria" w:hAnsi="Cambria" w:cs="Cambria"/>
          <w:b/>
          <w:bCs/>
          <w:color w:val="000000"/>
          <w:sz w:val="32"/>
          <w:szCs w:val="32"/>
        </w:rPr>
        <w:t>21%</w:t>
      </w:r>
      <w:r w:rsidRPr="00A21181">
        <w:rPr>
          <w:rFonts w:ascii="Cambria" w:eastAsia="Cambria" w:hAnsi="Cambria" w:cs="Cambria"/>
          <w:color w:val="000000"/>
          <w:sz w:val="32"/>
          <w:szCs w:val="32"/>
        </w:rPr>
        <w:t xml:space="preserve"> of men. Distinction (about 11–12%) and Fail (about 22–23%) are close for both genders.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There is no large gender gap in results, but the higher withdrawal rate among men suggests retention efforts for male learners deserve attention.</w:t>
      </w:r>
    </w:p>
    <w:p w:rsidR="00451910" w:rsidRPr="00A21181" w:rsidRDefault="004E274E">
      <w:pPr>
        <w:keepNext/>
        <w:spacing w:before="240" w:after="120"/>
        <w:ind w:left="720"/>
        <w:rPr>
          <w:rFonts w:ascii="Cambria" w:eastAsia="Cambria" w:hAnsi="Cambria" w:cs="Cambria"/>
          <w:sz w:val="32"/>
          <w:szCs w:val="32"/>
        </w:rPr>
      </w:pPr>
      <w:r w:rsidRPr="00A21181">
        <w:rPr>
          <w:rFonts w:ascii="Cambria" w:eastAsia="Cambria" w:hAnsi="Cambria" w:cs="Cambria"/>
          <w:b/>
          <w:bCs/>
          <w:color w:val="000000"/>
          <w:sz w:val="32"/>
          <w:szCs w:val="32"/>
        </w:rPr>
        <w:t>Summary of Visualisations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00"/>
        <w:gridCol w:w="3900"/>
        <w:gridCol w:w="2926"/>
        <w:gridCol w:w="1600"/>
      </w:tblGrid>
      <w:tr w:rsidR="00451910" w:rsidRPr="00A21181">
        <w:trPr>
          <w:cantSplit/>
          <w:tblHeader/>
        </w:trPr>
        <w:tc>
          <w:tcPr>
            <w:tcW w:w="600"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No.</w:t>
            </w:r>
          </w:p>
        </w:tc>
        <w:tc>
          <w:tcPr>
            <w:tcW w:w="3900"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Business question</w:t>
            </w:r>
          </w:p>
        </w:tc>
        <w:tc>
          <w:tcPr>
            <w:tcW w:w="2926"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Visualization</w:t>
            </w:r>
          </w:p>
        </w:tc>
        <w:tc>
          <w:tcPr>
            <w:tcW w:w="1600"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Dashboard</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are students distributed across engagement levels?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2</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much learning activity (clicks) does each engagement level generate?</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3</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is the distribution of final results (Pass, Fail, Withdrawn and Distinction)?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4</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engagement level affect final results?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5</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average student score vary across regions?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6</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share of students falls into each risk level?</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7</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Which types of students make up a risk level (by education, gender and region)?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8</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dropout rate vary with students’ highest education?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9</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pass rate vary with students’ highest education?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Do final results differ between male and female students?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100% stacked bar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bl>
    <w:p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Conclusion</w:t>
      </w:r>
    </w:p>
    <w:p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The ten visualisations show that student engagement is closely linked to performance in this online learning programme. Only about a third of students are highly engaged, yet they generate around three-quarters of all clicks and fail or withdraw about half as often as students overall. Prior education, not region, is the clearest divider in dropout and pass rates, and nearly half of all students are at High or Very High risk. Together, these findings point to early engagement monitoring and targeted support for learners with lower prior qualifications as the most effective ways to improve completion and success.</w:t>
      </w:r>
    </w:p>
    <w:p w:rsidR="00451910" w:rsidRDefault="00451910">
      <w:pPr>
        <w:spacing w:before="200"/>
        <w:rPr>
          <w:rFonts w:ascii="Cambria" w:eastAsia="Cambria" w:hAnsi="Cambria" w:cs="Cambria"/>
          <w:sz w:val="20"/>
          <w:szCs w:val="20"/>
        </w:rPr>
      </w:pPr>
    </w:p>
    <w:sectPr w:rsidR="00451910" w:rsidSect="00A21181">
      <w:pgSz w:w="11907" w:h="16839" w:code="9"/>
      <w:pgMar w:top="1440" w:right="1440" w:bottom="1440" w:left="1440" w:header="708" w:footer="708" w:gutter="0"/>
      <w:pgNumType w:start="1"/>
      <w:cols w:space="720"/>
      <w:docGrid w:linePitch="299"/>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drawingGridHorizontalSpacing w:val="110"/>
  <w:displayHorizontalDrawingGridEvery w:val="2"/>
  <w:characterSpacingControl w:val="doNotCompress"/>
  <w:savePreviewPicture/>
  <w:compat/>
  <w:rsids>
    <w:rsidRoot w:val="005C572D"/>
    <w:rsid w:val="001C6F0B"/>
    <w:rsid w:val="00451910"/>
    <w:rsid w:val="004E274E"/>
    <w:rsid w:val="005C572D"/>
    <w:rsid w:val="00831BD2"/>
    <w:rsid w:val="00846084"/>
    <w:rsid w:val="008E486C"/>
    <w:rsid w:val="00A21181"/>
    <w:rsid w:val="00BB0734"/>
    <w:rsid w:val="00D043A9"/>
    <w:rsid w:val="00D3353A"/>
    <w:rsid w:val="00D57AA3"/>
    <w:rsid w:val="00EE5EFB"/>
    <w:rsid w:val="00F15253"/>
    <w:rsid w:val="00FA3B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1607</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SPMVV</cp:lastModifiedBy>
  <cp:revision>3</cp:revision>
  <dcterms:created xsi:type="dcterms:W3CDTF">2026-09-19T06:00:00Z</dcterms:created>
  <dcterms:modified xsi:type="dcterms:W3CDTF">2026-09-21T05:30:00Z</dcterms:modified>
</cp:coreProperties>
</file>