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6D4E" w:rsidRPr="00385B74" w:rsidRDefault="0039006E" w:rsidP="0039006E">
      <w:pPr>
        <w:jc w:val="center"/>
        <w:rPr>
          <w:sz w:val="44"/>
          <w:szCs w:val="44"/>
        </w:rPr>
      </w:pPr>
      <w:r w:rsidRPr="00385B74">
        <w:rPr>
          <w:b/>
          <w:bCs/>
          <w:sz w:val="44"/>
          <w:szCs w:val="44"/>
        </w:rPr>
        <w:t>Dashboard Design</w:t>
      </w:r>
    </w:p>
    <w:p w:rsidR="00836D4E" w:rsidRDefault="00836D4E">
      <w:pPr>
        <w:spacing w:after="120"/>
      </w:pPr>
    </w:p>
    <w:tbl>
      <w:tblPr>
        <w:tblW w:w="97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000"/>
        <w:gridCol w:w="6791"/>
      </w:tblGrid>
      <w:tr w:rsidR="00836D4E" w:rsidRPr="00385B74"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rsidR="00836D4E" w:rsidRPr="00385B74" w:rsidRDefault="0039006E">
            <w:pPr>
              <w:rPr>
                <w:sz w:val="36"/>
                <w:szCs w:val="36"/>
              </w:rPr>
            </w:pPr>
            <w:r w:rsidRPr="00385B74">
              <w:rPr>
                <w:b/>
                <w:bCs/>
                <w:sz w:val="36"/>
                <w:szCs w:val="36"/>
              </w:rPr>
              <w:t>Date</w:t>
            </w:r>
          </w:p>
        </w:tc>
        <w:tc>
          <w:tcPr>
            <w:tcW w:w="6791" w:type="dxa"/>
            <w:tcBorders>
              <w:top w:val="single" w:sz="4" w:space="0" w:color="999999"/>
              <w:left w:val="single" w:sz="4" w:space="0" w:color="999999"/>
              <w:bottom w:val="single" w:sz="4" w:space="0" w:color="999999"/>
              <w:right w:val="single" w:sz="4" w:space="0" w:color="999999"/>
            </w:tcBorders>
          </w:tcPr>
          <w:p w:rsidR="00836D4E" w:rsidRPr="00385B74" w:rsidRDefault="00836D4E">
            <w:pPr>
              <w:rPr>
                <w:sz w:val="36"/>
                <w:szCs w:val="36"/>
              </w:rPr>
            </w:pPr>
          </w:p>
        </w:tc>
      </w:tr>
      <w:tr w:rsidR="00836D4E" w:rsidRPr="00385B74"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rsidR="00836D4E" w:rsidRPr="00385B74" w:rsidRDefault="0039006E">
            <w:pPr>
              <w:rPr>
                <w:sz w:val="36"/>
                <w:szCs w:val="36"/>
              </w:rPr>
            </w:pPr>
            <w:r w:rsidRPr="00385B74">
              <w:rPr>
                <w:b/>
                <w:bCs/>
                <w:sz w:val="36"/>
                <w:szCs w:val="36"/>
              </w:rPr>
              <w:t>Team ID</w:t>
            </w:r>
          </w:p>
        </w:tc>
        <w:tc>
          <w:tcPr>
            <w:tcW w:w="6791" w:type="dxa"/>
            <w:tcBorders>
              <w:top w:val="single" w:sz="4" w:space="0" w:color="999999"/>
              <w:left w:val="single" w:sz="4" w:space="0" w:color="999999"/>
              <w:bottom w:val="single" w:sz="4" w:space="0" w:color="999999"/>
              <w:right w:val="single" w:sz="4" w:space="0" w:color="999999"/>
            </w:tcBorders>
          </w:tcPr>
          <w:p w:rsidR="00836D4E" w:rsidRPr="00385B74" w:rsidRDefault="00385B74">
            <w:pPr>
              <w:rPr>
                <w:sz w:val="36"/>
                <w:szCs w:val="36"/>
              </w:rPr>
            </w:pPr>
            <w:r w:rsidRPr="00385B74">
              <w:rPr>
                <w:sz w:val="36"/>
                <w:szCs w:val="36"/>
              </w:rPr>
              <w:t>MCA</w:t>
            </w:r>
          </w:p>
        </w:tc>
      </w:tr>
      <w:tr w:rsidR="00836D4E" w:rsidRPr="00385B74"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rsidR="00836D4E" w:rsidRPr="00385B74" w:rsidRDefault="0039006E">
            <w:pPr>
              <w:rPr>
                <w:sz w:val="36"/>
                <w:szCs w:val="36"/>
              </w:rPr>
            </w:pPr>
            <w:r w:rsidRPr="00385B74">
              <w:rPr>
                <w:b/>
                <w:bCs/>
                <w:sz w:val="36"/>
                <w:szCs w:val="36"/>
              </w:rPr>
              <w:t>Project Name</w:t>
            </w:r>
          </w:p>
        </w:tc>
        <w:tc>
          <w:tcPr>
            <w:tcW w:w="6791" w:type="dxa"/>
            <w:tcBorders>
              <w:top w:val="single" w:sz="4" w:space="0" w:color="999999"/>
              <w:left w:val="single" w:sz="4" w:space="0" w:color="999999"/>
              <w:bottom w:val="single" w:sz="4" w:space="0" w:color="999999"/>
              <w:right w:val="single" w:sz="4" w:space="0" w:color="999999"/>
            </w:tcBorders>
          </w:tcPr>
          <w:p w:rsidR="00836D4E" w:rsidRPr="00385B74" w:rsidRDefault="0039006E">
            <w:pPr>
              <w:rPr>
                <w:sz w:val="36"/>
                <w:szCs w:val="36"/>
              </w:rPr>
            </w:pPr>
            <w:r w:rsidRPr="00385B74">
              <w:rPr>
                <w:sz w:val="36"/>
                <w:szCs w:val="36"/>
              </w:rPr>
              <w:t>Online</w:t>
            </w:r>
            <w:r w:rsidR="00385B74" w:rsidRPr="00385B74">
              <w:rPr>
                <w:sz w:val="36"/>
                <w:szCs w:val="36"/>
              </w:rPr>
              <w:t xml:space="preserve"> learning </w:t>
            </w:r>
            <w:r w:rsidRPr="00385B74">
              <w:rPr>
                <w:sz w:val="36"/>
                <w:szCs w:val="36"/>
              </w:rPr>
              <w:t xml:space="preserve"> Education</w:t>
            </w:r>
            <w:r w:rsidR="00385B74" w:rsidRPr="00385B74">
              <w:rPr>
                <w:sz w:val="36"/>
                <w:szCs w:val="36"/>
              </w:rPr>
              <w:t xml:space="preserve"> and Student Performance Analysis</w:t>
            </w:r>
          </w:p>
        </w:tc>
      </w:tr>
      <w:tr w:rsidR="00836D4E" w:rsidRPr="00385B74"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rsidR="00836D4E" w:rsidRPr="00385B74" w:rsidRDefault="0039006E">
            <w:pPr>
              <w:rPr>
                <w:sz w:val="36"/>
                <w:szCs w:val="36"/>
              </w:rPr>
            </w:pPr>
            <w:r w:rsidRPr="00385B74">
              <w:rPr>
                <w:b/>
                <w:bCs/>
                <w:sz w:val="36"/>
                <w:szCs w:val="36"/>
              </w:rPr>
              <w:t>Maximum Marks</w:t>
            </w:r>
          </w:p>
        </w:tc>
        <w:tc>
          <w:tcPr>
            <w:tcW w:w="6791" w:type="dxa"/>
            <w:tcBorders>
              <w:top w:val="single" w:sz="4" w:space="0" w:color="999999"/>
              <w:left w:val="single" w:sz="4" w:space="0" w:color="999999"/>
              <w:bottom w:val="single" w:sz="4" w:space="0" w:color="999999"/>
              <w:right w:val="single" w:sz="4" w:space="0" w:color="999999"/>
            </w:tcBorders>
          </w:tcPr>
          <w:p w:rsidR="00836D4E" w:rsidRPr="00385B74" w:rsidRDefault="0039006E">
            <w:pPr>
              <w:rPr>
                <w:sz w:val="36"/>
                <w:szCs w:val="36"/>
              </w:rPr>
            </w:pPr>
            <w:r w:rsidRPr="00385B74">
              <w:rPr>
                <w:sz w:val="36"/>
                <w:szCs w:val="36"/>
              </w:rPr>
              <w:t>5 Marks</w:t>
            </w:r>
          </w:p>
        </w:tc>
      </w:tr>
    </w:tbl>
    <w:p w:rsidR="0039006E" w:rsidRPr="00385B74" w:rsidRDefault="0039006E">
      <w:pPr>
        <w:spacing w:after="200"/>
        <w:rPr>
          <w:sz w:val="36"/>
          <w:szCs w:val="36"/>
        </w:rPr>
      </w:pPr>
    </w:p>
    <w:p w:rsidR="0039006E" w:rsidRPr="00385B74" w:rsidRDefault="0039006E" w:rsidP="00385B74">
      <w:pPr>
        <w:spacing w:after="200" w:line="276" w:lineRule="auto"/>
        <w:jc w:val="both"/>
        <w:rPr>
          <w:sz w:val="32"/>
          <w:szCs w:val="32"/>
        </w:rPr>
      </w:pPr>
      <w:r w:rsidRPr="00385B74">
        <w:rPr>
          <w:sz w:val="32"/>
          <w:szCs w:val="32"/>
        </w:rPr>
        <w:t>Creating an effective dashboard involves thoughtful design to ensure that the presented information is clear, relevant, and easily understandable for the intended audience. Here are some key principles and best practices for dashboard design.</w:t>
      </w:r>
    </w:p>
    <w:p w:rsidR="00836D4E" w:rsidRPr="00385B74" w:rsidRDefault="0039006E" w:rsidP="0039006E">
      <w:pPr>
        <w:spacing w:after="120" w:line="276" w:lineRule="auto"/>
        <w:jc w:val="both"/>
        <w:rPr>
          <w:sz w:val="32"/>
          <w:szCs w:val="32"/>
        </w:rPr>
      </w:pPr>
      <w:r w:rsidRPr="00385B74">
        <w:rPr>
          <w:b/>
          <w:bCs/>
          <w:sz w:val="32"/>
          <w:szCs w:val="32"/>
        </w:rPr>
        <w:t>Activity 1: Interactive and visually appealing dashboards</w:t>
      </w:r>
    </w:p>
    <w:p w:rsidR="00836D4E" w:rsidRPr="00385B74" w:rsidRDefault="0039006E" w:rsidP="0039006E">
      <w:pPr>
        <w:spacing w:after="120" w:line="276" w:lineRule="auto"/>
        <w:jc w:val="both"/>
        <w:rPr>
          <w:sz w:val="32"/>
          <w:szCs w:val="32"/>
        </w:rPr>
      </w:pPr>
      <w:r w:rsidRPr="00385B74">
        <w:rPr>
          <w:sz w:val="32"/>
          <w:szCs w:val="32"/>
        </w:rPr>
        <w:t>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the below points:</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Clear and Intuitive Layout</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Appropriate Visualizations</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Colour and Theming</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Interactive Filters and Slicers</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Drill-Down Capabilities</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Responsive Design</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Custom Visuals and Icons</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of Infographics</w:t>
      </w:r>
    </w:p>
    <w:p w:rsidR="00836D4E" w:rsidRDefault="0039006E">
      <w:pPr>
        <w:spacing w:after="120"/>
      </w:pPr>
      <w:r>
        <w:rPr>
          <w:noProof/>
          <w:lang w:val="en-US" w:eastAsia="en-US"/>
        </w:rPr>
        <w:drawing>
          <wp:inline distT="0" distB="0" distL="0" distR="0">
            <wp:extent cx="7505700" cy="371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7 151926.png"/>
                    <pic:cNvPicPr/>
                  </pic:nvPicPr>
                  <pic:blipFill>
                    <a:blip r:embed="rId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7505700" cy="3714750"/>
                    </a:xfrm>
                    <a:prstGeom prst="rect">
                      <a:avLst/>
                    </a:prstGeom>
                  </pic:spPr>
                </pic:pic>
              </a:graphicData>
            </a:graphic>
          </wp:inline>
        </w:drawing>
      </w:r>
    </w:p>
    <w:p w:rsidR="00BF66C7" w:rsidRDefault="00BF66C7" w:rsidP="0039006E">
      <w:pPr>
        <w:spacing w:after="120" w:line="276" w:lineRule="auto"/>
        <w:rPr>
          <w:i/>
          <w:iCs/>
          <w:sz w:val="36"/>
          <w:szCs w:val="36"/>
        </w:rPr>
      </w:pPr>
      <w:bookmarkStart w:id="0" w:name="_GoBack"/>
    </w:p>
    <w:p w:rsidR="00836D4E" w:rsidRPr="00385B74" w:rsidRDefault="00385B74" w:rsidP="0039006E">
      <w:pPr>
        <w:spacing w:after="120" w:line="276" w:lineRule="auto"/>
        <w:rPr>
          <w:sz w:val="36"/>
          <w:szCs w:val="36"/>
        </w:rPr>
      </w:pPr>
      <w:r>
        <w:rPr>
          <w:i/>
          <w:iCs/>
          <w:sz w:val="36"/>
          <w:szCs w:val="36"/>
        </w:rPr>
        <w:lastRenderedPageBreak/>
        <w:t>Sample</w:t>
      </w:r>
    </w:p>
    <w:bookmarkEnd w:id="0"/>
    <w:p w:rsidR="00836D4E" w:rsidRPr="00385B74" w:rsidRDefault="0039006E" w:rsidP="0039006E">
      <w:pPr>
        <w:spacing w:after="160" w:line="276" w:lineRule="auto"/>
        <w:rPr>
          <w:sz w:val="32"/>
          <w:szCs w:val="32"/>
        </w:rPr>
      </w:pPr>
      <w:r w:rsidRPr="00385B74">
        <w:rPr>
          <w:sz w:val="32"/>
          <w:szCs w:val="32"/>
        </w:rPr>
        <w:t>Here are six key outcomes from the Online Education Analytics dashboard shown above, covering student engagement and performance:</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Overall Scale and Retention Risk: </w:t>
      </w:r>
      <w:r w:rsidRPr="00385B74">
        <w:rPr>
          <w:sz w:val="32"/>
          <w:szCs w:val="32"/>
        </w:rPr>
        <w:t>The dashboard tracks 22K enrolled students with a dropout rate of 20.40%, meaning roughly one in five learners disengage before completing their course — flagging retention as a priority area for intervention.</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Final Result Distribution: </w:t>
      </w:r>
      <w:r w:rsidRPr="00385B74">
        <w:rPr>
          <w:sz w:val="32"/>
          <w:szCs w:val="32"/>
        </w:rPr>
        <w:t>Of all students, 46.24% achieved a Pass, 22.32% Failed, 20.4% Withdrew and 11.04% earned Distinction. Combined, Fail and Withdrawn outcomes account for over 42% of students, reinforcing the dropout concern seen above.</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Engagement Drives Performance: </w:t>
      </w:r>
      <w:r w:rsidRPr="00385B74">
        <w:rPr>
          <w:sz w:val="32"/>
          <w:szCs w:val="32"/>
        </w:rPr>
        <w:t>Students with High engagement generate close to 4K average clicks and the highest average scores, while Low-engagement students click under 1K times on average and score noticeably lower — a clear positive link between platform activity and academic outcome.</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Regional Enrolment Variation: </w:t>
      </w:r>
      <w:r w:rsidRPr="00385B74">
        <w:rPr>
          <w:sz w:val="32"/>
          <w:szCs w:val="32"/>
        </w:rPr>
        <w:t>Scotland and the East Anglian Region report the highest student counts, while Wales and the East Midlands Region show the smallest cohorts, indicating uneven regional reach that could guide targeted enrolment or support campaigns.</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Score Gaps by Performance Band: </w:t>
      </w:r>
      <w:r w:rsidRPr="00385B74">
        <w:rPr>
          <w:sz w:val="32"/>
          <w:szCs w:val="32"/>
        </w:rPr>
        <w:t>Average score declines steadily from the Distinction band down to the Fail band, and the same pattern repeats across engagement levels — together these confirm that consistent participation is the strongest visible driver of the 73.07 overall average score.</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Moderate Pass Rate Signals Room for Support: </w:t>
      </w:r>
      <w:r w:rsidRPr="00385B74">
        <w:rPr>
          <w:sz w:val="32"/>
          <w:szCs w:val="32"/>
        </w:rPr>
        <w:t>With an overall Pass Rate of 57.27%, less than two-thirds of students are passing outright, suggesting that early-warning triggers based on clicks and engagement level could help advisors identify at-risk students before they withdraw.</w:t>
      </w:r>
    </w:p>
    <w:p w:rsidR="00836D4E" w:rsidRPr="00385B74" w:rsidRDefault="00836D4E" w:rsidP="0039006E">
      <w:pPr>
        <w:spacing w:after="200" w:line="276" w:lineRule="auto"/>
        <w:rPr>
          <w:sz w:val="32"/>
          <w:szCs w:val="32"/>
        </w:rPr>
      </w:pPr>
    </w:p>
    <w:p w:rsidR="00836D4E" w:rsidRPr="00385B74" w:rsidRDefault="00836D4E" w:rsidP="0039006E">
      <w:pPr>
        <w:spacing w:after="200" w:line="276" w:lineRule="auto"/>
        <w:jc w:val="center"/>
        <w:rPr>
          <w:sz w:val="32"/>
          <w:szCs w:val="32"/>
        </w:rPr>
      </w:pPr>
    </w:p>
    <w:sectPr w:rsidR="00836D4E" w:rsidRPr="00385B74" w:rsidSect="0039006E">
      <w:pgSz w:w="14572" w:h="20639" w:code="12"/>
      <w:pgMar w:top="1440" w:right="1440" w:bottom="1440" w:left="144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71310"/>
    <w:multiLevelType w:val="hybridMultilevel"/>
    <w:tmpl w:val="1D8A77A0"/>
    <w:lvl w:ilvl="0" w:tplc="DBAA95E8">
      <w:start w:val="1"/>
      <w:numFmt w:val="decimal"/>
      <w:lvlText w:val="%1."/>
      <w:lvlJc w:val="left"/>
      <w:pPr>
        <w:ind w:left="720" w:hanging="360"/>
      </w:pPr>
    </w:lvl>
    <w:lvl w:ilvl="1" w:tplc="5EE6F494">
      <w:numFmt w:val="decimal"/>
      <w:lvlText w:val=""/>
      <w:lvlJc w:val="left"/>
    </w:lvl>
    <w:lvl w:ilvl="2" w:tplc="6D2E0950">
      <w:numFmt w:val="decimal"/>
      <w:lvlText w:val=""/>
      <w:lvlJc w:val="left"/>
    </w:lvl>
    <w:lvl w:ilvl="3" w:tplc="8A008B68">
      <w:numFmt w:val="decimal"/>
      <w:lvlText w:val=""/>
      <w:lvlJc w:val="left"/>
    </w:lvl>
    <w:lvl w:ilvl="4" w:tplc="B53C49FC">
      <w:numFmt w:val="decimal"/>
      <w:lvlText w:val=""/>
      <w:lvlJc w:val="left"/>
    </w:lvl>
    <w:lvl w:ilvl="5" w:tplc="BFD03E04">
      <w:numFmt w:val="decimal"/>
      <w:lvlText w:val=""/>
      <w:lvlJc w:val="left"/>
    </w:lvl>
    <w:lvl w:ilvl="6" w:tplc="B3FC7BA4">
      <w:numFmt w:val="decimal"/>
      <w:lvlText w:val=""/>
      <w:lvlJc w:val="left"/>
    </w:lvl>
    <w:lvl w:ilvl="7" w:tplc="E1703B4A">
      <w:numFmt w:val="decimal"/>
      <w:lvlText w:val=""/>
      <w:lvlJc w:val="left"/>
    </w:lvl>
    <w:lvl w:ilvl="8" w:tplc="CF0A5746">
      <w:numFmt w:val="decimal"/>
      <w:lvlText w:val=""/>
      <w:lvlJc w:val="left"/>
    </w:lvl>
  </w:abstractNum>
  <w:abstractNum w:abstractNumId="1">
    <w:nsid w:val="1EC40A96"/>
    <w:multiLevelType w:val="hybridMultilevel"/>
    <w:tmpl w:val="8F624DB2"/>
    <w:lvl w:ilvl="0" w:tplc="0922D1C6">
      <w:start w:val="1"/>
      <w:numFmt w:val="bullet"/>
      <w:lvlText w:val="●"/>
      <w:lvlJc w:val="left"/>
      <w:pPr>
        <w:ind w:left="720" w:hanging="360"/>
      </w:pPr>
    </w:lvl>
    <w:lvl w:ilvl="1" w:tplc="1A4C2AC8">
      <w:start w:val="1"/>
      <w:numFmt w:val="bullet"/>
      <w:lvlText w:val="○"/>
      <w:lvlJc w:val="left"/>
      <w:pPr>
        <w:ind w:left="1440" w:hanging="360"/>
      </w:pPr>
    </w:lvl>
    <w:lvl w:ilvl="2" w:tplc="C14E517E">
      <w:start w:val="1"/>
      <w:numFmt w:val="bullet"/>
      <w:lvlText w:val="■"/>
      <w:lvlJc w:val="left"/>
      <w:pPr>
        <w:ind w:left="2160" w:hanging="360"/>
      </w:pPr>
    </w:lvl>
    <w:lvl w:ilvl="3" w:tplc="CF4C5474">
      <w:start w:val="1"/>
      <w:numFmt w:val="bullet"/>
      <w:lvlText w:val="●"/>
      <w:lvlJc w:val="left"/>
      <w:pPr>
        <w:ind w:left="2880" w:hanging="360"/>
      </w:pPr>
    </w:lvl>
    <w:lvl w:ilvl="4" w:tplc="4A7E18DA">
      <w:start w:val="1"/>
      <w:numFmt w:val="bullet"/>
      <w:lvlText w:val="○"/>
      <w:lvlJc w:val="left"/>
      <w:pPr>
        <w:ind w:left="3600" w:hanging="360"/>
      </w:pPr>
    </w:lvl>
    <w:lvl w:ilvl="5" w:tplc="CB0E8E74">
      <w:start w:val="1"/>
      <w:numFmt w:val="bullet"/>
      <w:lvlText w:val="■"/>
      <w:lvlJc w:val="left"/>
      <w:pPr>
        <w:ind w:left="4320" w:hanging="360"/>
      </w:pPr>
    </w:lvl>
    <w:lvl w:ilvl="6" w:tplc="8D3C99C2">
      <w:start w:val="1"/>
      <w:numFmt w:val="bullet"/>
      <w:lvlText w:val="●"/>
      <w:lvlJc w:val="left"/>
      <w:pPr>
        <w:ind w:left="5040" w:hanging="360"/>
      </w:pPr>
    </w:lvl>
    <w:lvl w:ilvl="7" w:tplc="4544BA2C">
      <w:start w:val="1"/>
      <w:numFmt w:val="bullet"/>
      <w:lvlText w:val="●"/>
      <w:lvlJc w:val="left"/>
      <w:pPr>
        <w:ind w:left="5760" w:hanging="360"/>
      </w:pPr>
    </w:lvl>
    <w:lvl w:ilvl="8" w:tplc="D9AC484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savePreviewPicture/>
  <w:compat/>
  <w:rsids>
    <w:rsidRoot w:val="00836D4E"/>
    <w:rsid w:val="001F3E7E"/>
    <w:rsid w:val="00340DC1"/>
    <w:rsid w:val="00385B74"/>
    <w:rsid w:val="0039006E"/>
    <w:rsid w:val="00836D4E"/>
    <w:rsid w:val="00BF66C7"/>
    <w:rsid w:val="00D045C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45C9"/>
  </w:style>
  <w:style w:type="paragraph" w:styleId="Heading1">
    <w:name w:val="heading 1"/>
    <w:qFormat/>
    <w:rsid w:val="00D045C9"/>
    <w:pPr>
      <w:outlineLvl w:val="0"/>
    </w:pPr>
    <w:rPr>
      <w:color w:val="2E74B5"/>
      <w:sz w:val="32"/>
      <w:szCs w:val="32"/>
    </w:rPr>
  </w:style>
  <w:style w:type="paragraph" w:styleId="Heading2">
    <w:name w:val="heading 2"/>
    <w:qFormat/>
    <w:rsid w:val="00D045C9"/>
    <w:pPr>
      <w:outlineLvl w:val="1"/>
    </w:pPr>
    <w:rPr>
      <w:color w:val="2E74B5"/>
      <w:sz w:val="26"/>
      <w:szCs w:val="26"/>
    </w:rPr>
  </w:style>
  <w:style w:type="paragraph" w:styleId="Heading3">
    <w:name w:val="heading 3"/>
    <w:qFormat/>
    <w:rsid w:val="00D045C9"/>
    <w:pPr>
      <w:outlineLvl w:val="2"/>
    </w:pPr>
    <w:rPr>
      <w:color w:val="1F4D78"/>
      <w:sz w:val="24"/>
      <w:szCs w:val="24"/>
    </w:rPr>
  </w:style>
  <w:style w:type="paragraph" w:styleId="Heading4">
    <w:name w:val="heading 4"/>
    <w:qFormat/>
    <w:rsid w:val="00D045C9"/>
    <w:pPr>
      <w:outlineLvl w:val="3"/>
    </w:pPr>
    <w:rPr>
      <w:i/>
      <w:iCs/>
      <w:color w:val="2E74B5"/>
    </w:rPr>
  </w:style>
  <w:style w:type="paragraph" w:styleId="Heading5">
    <w:name w:val="heading 5"/>
    <w:qFormat/>
    <w:rsid w:val="00D045C9"/>
    <w:pPr>
      <w:outlineLvl w:val="4"/>
    </w:pPr>
    <w:rPr>
      <w:color w:val="2E74B5"/>
    </w:rPr>
  </w:style>
  <w:style w:type="paragraph" w:styleId="Heading6">
    <w:name w:val="heading 6"/>
    <w:qFormat/>
    <w:rsid w:val="00D045C9"/>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045C9"/>
    <w:rPr>
      <w:sz w:val="56"/>
      <w:szCs w:val="56"/>
    </w:rPr>
  </w:style>
  <w:style w:type="paragraph" w:customStyle="1" w:styleId="Strong1">
    <w:name w:val="Strong1"/>
    <w:qFormat/>
    <w:rsid w:val="00D045C9"/>
    <w:rPr>
      <w:b/>
      <w:bCs/>
    </w:rPr>
  </w:style>
  <w:style w:type="paragraph" w:styleId="ListParagraph">
    <w:name w:val="List Paragraph"/>
    <w:qFormat/>
    <w:rsid w:val="00D045C9"/>
  </w:style>
  <w:style w:type="character" w:styleId="Hyperlink">
    <w:name w:val="Hyperlink"/>
    <w:uiPriority w:val="99"/>
    <w:unhideWhenUsed/>
    <w:rsid w:val="00D045C9"/>
    <w:rPr>
      <w:color w:val="0563C1"/>
      <w:u w:val="single"/>
    </w:rPr>
  </w:style>
  <w:style w:type="character" w:styleId="FootnoteReference">
    <w:name w:val="footnote reference"/>
    <w:uiPriority w:val="99"/>
    <w:semiHidden/>
    <w:unhideWhenUsed/>
    <w:rsid w:val="00D045C9"/>
    <w:rPr>
      <w:vertAlign w:val="superscript"/>
    </w:rPr>
  </w:style>
  <w:style w:type="paragraph" w:styleId="FootnoteText">
    <w:name w:val="footnote text"/>
    <w:link w:val="FootnoteTextChar"/>
    <w:uiPriority w:val="99"/>
    <w:semiHidden/>
    <w:unhideWhenUsed/>
    <w:rsid w:val="00D045C9"/>
  </w:style>
  <w:style w:type="character" w:customStyle="1" w:styleId="FootnoteTextChar">
    <w:name w:val="Footnote Text Char"/>
    <w:link w:val="FootnoteText"/>
    <w:uiPriority w:val="99"/>
    <w:semiHidden/>
    <w:unhideWhenUsed/>
    <w:rsid w:val="00D045C9"/>
    <w:rPr>
      <w:sz w:val="20"/>
      <w:szCs w:val="20"/>
    </w:rPr>
  </w:style>
  <w:style w:type="character" w:styleId="EndnoteReference">
    <w:name w:val="endnote reference"/>
    <w:uiPriority w:val="99"/>
    <w:semiHidden/>
    <w:unhideWhenUsed/>
    <w:rsid w:val="00D045C9"/>
    <w:rPr>
      <w:vertAlign w:val="superscript"/>
    </w:rPr>
  </w:style>
  <w:style w:type="paragraph" w:styleId="EndnoteText">
    <w:name w:val="endnote text"/>
    <w:link w:val="EndnoteTextChar"/>
    <w:uiPriority w:val="99"/>
    <w:semiHidden/>
    <w:unhideWhenUsed/>
    <w:rsid w:val="00D045C9"/>
  </w:style>
  <w:style w:type="character" w:customStyle="1" w:styleId="EndnoteTextChar">
    <w:name w:val="Endnote Text Char"/>
    <w:link w:val="EndnoteText"/>
    <w:uiPriority w:val="99"/>
    <w:semiHidden/>
    <w:unhideWhenUsed/>
    <w:rsid w:val="00D045C9"/>
    <w:rPr>
      <w:sz w:val="20"/>
      <w:szCs w:val="20"/>
    </w:rPr>
  </w:style>
  <w:style w:type="paragraph" w:styleId="BalloonText">
    <w:name w:val="Balloon Text"/>
    <w:basedOn w:val="Normal"/>
    <w:link w:val="BalloonTextChar"/>
    <w:uiPriority w:val="99"/>
    <w:semiHidden/>
    <w:unhideWhenUsed/>
    <w:rsid w:val="0039006E"/>
    <w:rPr>
      <w:rFonts w:ascii="Tahoma" w:hAnsi="Tahoma" w:cs="Tahoma"/>
      <w:sz w:val="16"/>
      <w:szCs w:val="16"/>
    </w:rPr>
  </w:style>
  <w:style w:type="character" w:customStyle="1" w:styleId="BalloonTextChar">
    <w:name w:val="Balloon Text Char"/>
    <w:basedOn w:val="DefaultParagraphFont"/>
    <w:link w:val="BalloonText"/>
    <w:uiPriority w:val="99"/>
    <w:semiHidden/>
    <w:rsid w:val="0039006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39006E"/>
    <w:rPr>
      <w:rFonts w:ascii="Tahoma" w:hAnsi="Tahoma" w:cs="Tahoma"/>
      <w:sz w:val="16"/>
      <w:szCs w:val="16"/>
    </w:rPr>
  </w:style>
  <w:style w:type="character" w:customStyle="1" w:styleId="BalloonTextChar">
    <w:name w:val="Balloon Text Char"/>
    <w:basedOn w:val="DefaultParagraphFont"/>
    <w:link w:val="BalloonText"/>
    <w:uiPriority w:val="99"/>
    <w:semiHidden/>
    <w:rsid w:val="0039006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3D59C8-397B-416B-93B1-1EF206B6E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404</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MCA SPMVV</cp:lastModifiedBy>
  <cp:revision>5</cp:revision>
  <dcterms:created xsi:type="dcterms:W3CDTF">2026-09-19T05:26:00Z</dcterms:created>
  <dcterms:modified xsi:type="dcterms:W3CDTF">2026-09-19T11:02:00Z</dcterms:modified>
</cp:coreProperties>
</file>