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Assessment Tool 3 - Answers</w:t>
      </w:r>
    </w:p>
    <w:p>
      <w:pPr>
        <w:pStyle w:val="Heading2"/>
      </w:pPr>
      <w:r>
        <w:t>Question 1</w:t>
      </w:r>
    </w:p>
    <w:p/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r>
        <w:t>A smart home automation system can use different intelligent agents. Simple reflex agents react to current inputs only, such as turning on lights when motion is detected. Model-based agents maintain an internal model of room occupancy and temperature. Goal-based agents plan actions to achieve goals like maintaining comfort and security. Utility-based agents evaluate multiple outcomes and choose the best trade-off between comfort, energy efficiency, and safety. A hybrid approach combining model-based and utility-based agents is most effective because it learns user preferences, predicts future states, and optimizes decisions. Example: lowering AC when no one is home while keeping security active.</w:t>
      </w:r>
    </w:p>
    <w:p>
      <w:pPr>
        <w:pStyle w:val="Heading2"/>
      </w:pPr>
      <w:r>
        <w:t>Question 2</w:t>
      </w:r>
    </w:p>
    <w:p/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p>
      <w:r>
        <w:t>In an unknown maze, Uniform Cost Search expands the least-cost path and guarantees the optimal solution when costs differ. Iterative Deepening Search repeatedly performs depth-limited searches and finds shallow solutions using low memory. UCS has higher memory usage but optimality, while IDS has low memory but repeated exploration. Time complexity: UCS depends on path costs; IDS is O(b^d). Space: UCS can be large, IDS is O(bd). A goal-based intelligent agent using UCS for varying costs or IDS for equal costs is suitable. A model-based goal agent improves decisions by remembering explored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