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Implementation Blueprint — Day 2 Addendum</w:t>
      </w:r>
    </w:p>
    <w:p>
      <w:pPr>
        <w:spacing w:after="300"/>
      </w:pPr>
      <w:r>
        <w:rPr>
          <w:i/>
          <w:iCs/>
        </w:rPr>
        <w:t xml:space="preserve">Two small, additive refinements were made during Day 2's system design session. Neither changes scope, timeline, or any Day 3-10 plan — both are captured here so this addendum can be read alongside the original Days 2-10 blueprint.</w:t>
      </w:r>
    </w:p>
    <w:p>
      <w:pPr>
        <w:pStyle w:val="Heading2"/>
        <w:spacing w:after="120"/>
      </w:pPr>
      <w:r>
        <w:t xml:space="preserve">1. Database constraint addition</w:t>
      </w:r>
    </w:p>
    <w:p>
      <w:pPr>
        <w:spacing w:after="200"/>
      </w:pPr>
      <w:r>
        <w:t xml:space="preserve">Added a UNIQUE(faculty_id, day_of_week, period_number) constraint on the timetable_slots table, in addition to the previously planned UNIQUE(section_id, day_of_week, period_number) constraint. This gives a database-level guarantee against faculty double-booking (FR-2) as a safety net beneath the application-level validation logic planned for Day 3-4. Update supabase/schema.sql on Day 2 to include this constraint.</w:t>
      </w:r>
    </w:p>
    <w:p>
      <w:pPr>
        <w:pStyle w:val="Heading2"/>
        <w:spacing w:after="120"/>
      </w:pPr>
      <w:r>
        <w:t xml:space="preserve">2. Project structure addition</w:t>
      </w:r>
    </w:p>
    <w:p>
      <w:pPr>
        <w:spacing w:after="200"/>
      </w:pPr>
      <w:r>
        <w:t xml:space="preserve">Added a /src/auth folder (containing AuthContext.jsx) to the project structure, to cleanly isolate Supabase Auth session state and protected-route logic from business logic in /src/services. This is used starting Day 5 (Authentication + Core UI) exactly as originally planned - only the folder location is now explicit.</w:t>
      </w:r>
    </w:p>
    <w:p>
      <w:pPr>
        <w:pStyle w:val="Heading3"/>
        <w:spacing w:before="200"/>
      </w:pPr>
      <w:r>
        <w:t xml:space="preserve">No other changes to the Days 2-10 plan were required. All full technical detail (architecture, schema, API contracts, UI wireframes, folder structure) is now captured in ARCHITECTURE.md, SCHEMA.md, API.md, UI-WIREFRAMES.md, and PROJECT-STRUCTURE.md in the /docs folder, and should be treated as the authoritative technical reference from Day 3 onward.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2026-07-22T04:04:49.335Z</dcterms:created>
  <dcterms:modified xsi:type="dcterms:W3CDTF">2026-07-22T04:04:49.409Z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