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2E6B9E"/>
          <w:sz w:val="20"/>
        </w:rPr>
        <w:t>COMPUTER NETWORKS LABORATORY PROJECT DOCUMENTATION</w:t>
        <w:br/>
      </w:r>
      <w:r>
        <w:rPr>
          <w:rFonts w:ascii="Calibri" w:hAnsi="Calibri"/>
          <w:b/>
          <w:color w:val="1B365D"/>
          <w:sz w:val="42"/>
        </w:rPr>
        <w:t>NetTelemetry: Real-Time Network Health Monitoring and Performance Telemetry System</w:t>
        <w:br/>
      </w:r>
      <w:r>
        <w:rPr>
          <w:rFonts w:ascii="Calibri" w:hAnsi="Calibri"/>
          <w:color w:val="64748B"/>
          <w:sz w:val="23"/>
        </w:rPr>
        <w:t>Comprehensive Technical Abstract, Protocol Architecture, Implementation, and Evaluation</w:t>
      </w:r>
    </w:p>
    <w:tbl>
      <w:tblPr>
        <w:tblW w:type="auto" w:w="0"/>
        <w:jc w:val="center"/>
        <w:tblLook w:firstColumn="1" w:firstRow="1" w:lastColumn="0" w:lastRow="0" w:noHBand="0" w:noVBand="1" w:val="04A0"/>
      </w:tblPr>
      <w:tblGrid>
        <w:gridCol w:w="9360"/>
      </w:tblGrid>
      <w:tr>
        <w:tc>
          <w:tcPr>
            <w:tcW w:type="dxa" w:w="9360"/>
            <w:shd w:fill="F4F7FB"/>
            <w:tcMar>
              <w:top w:w="140" w:type="dxa"/>
              <w:bottom w:w="140" w:type="dxa"/>
              <w:left w:w="200" w:type="dxa"/>
              <w:right w:w="200" w:type="dxa"/>
            </w:tcMar>
          </w:tcPr>
          <w:p>
            <w:pPr>
              <w:spacing w:before="0" w:after="0"/>
              <w:jc w:val="center"/>
            </w:pPr>
            <w:r>
              <w:rPr>
                <w:rFonts w:ascii="Calibri" w:hAnsi="Calibri"/>
                <w:b/>
                <w:color w:val="1B365D"/>
                <w:sz w:val="19"/>
              </w:rPr>
              <w:t>Domain: Computer Networks &amp; Active Telemetry  |  Protocols: ICMP, TCP, UDP, IPv4, DNS</w:t>
              <w:br/>
              <w:t>Topology: Distributed Star Probing  |  Measurement Engine: Native Win32 C Bindings &amp; Sockets</w:t>
            </w:r>
          </w:p>
        </w:tc>
      </w:tr>
    </w:tbl>
    <w:p>
      <w:pPr>
        <w:spacing w:after="200"/>
      </w:pPr>
    </w:p>
    <w:p>
      <w:pPr>
        <w:keepNext/>
        <w:spacing w:before="360" w:after="120"/>
      </w:pPr>
      <w:r>
        <w:rPr>
          <w:rFonts w:ascii="Calibri" w:hAnsi="Calibri"/>
          <w:b/>
          <w:color w:val="1B365D"/>
          <w:sz w:val="29"/>
        </w:rPr>
        <w:t>Executive Abstract</w:t>
      </w:r>
    </w:p>
    <w:p>
      <w:pPr>
        <w:spacing w:before="0" w:after="120" w:line="276" w:lineRule="auto"/>
      </w:pPr>
      <w:r>
        <w:rPr>
          <w:rFonts w:ascii="Calibri" w:hAnsi="Calibri"/>
          <w:color w:val="222222"/>
          <w:sz w:val="21"/>
        </w:rPr>
        <w:t>In contemporary computing infrastructure, network communication is the backbone supporting distributed systems, cloud services, and interactive client-server applications. However, traditional network monitoring often relies on simplistic, binary reachability checks (such as whether a server responds to an isolated ping), which fail to detect 'silent performance degradation'—including micro-burst packet loss, jitter variations, bufferbloat, and connection latency spikes. NetTelemetry is an active, multi-layer network health monitoring and telemetry framework engineered specifically to address these challenges. By synthesizing Layer 3 (Network Layer) control probing via native Internet Control Message Protocol (ICMP) and Layer 4 (Transport Layer) connection timing via Transmission Control Protocol (TCP) and User Datagram Protocol (UDP) sockets, NetTelemetry measures true end-to-end network health with sub-millisecond precision.</w:t>
      </w:r>
    </w:p>
    <w:p>
      <w:pPr>
        <w:spacing w:before="0" w:after="120" w:line="276" w:lineRule="auto"/>
      </w:pPr>
      <w:r>
        <w:rPr>
          <w:rFonts w:ascii="Calibri" w:hAnsi="Calibri"/>
          <w:color w:val="222222"/>
          <w:sz w:val="21"/>
        </w:rPr>
        <w:t>The system continuously executes controlled active probes against local gateways, enterprise intranet hosts, public anycast DNS resolvers (Google 8.8.8.8, Cloudflare 1.1.1.1), and cloud infrastructure endpoints. These raw observations are processed through a sliding-window statistical telemetry engine that continuously derives Round-Trip Time (RTT), IPv4 Time-To-Live (TTL) hop indicators, packet loss percentages, link availability, inter-packet jitter, and 95th/99th percentile (P95/P99) latency distributions. A statistical anomaly engine continuously correlates live measurements against operational baselines to flag severe latency surges, transient packet drops, and route alterations before they cascade into outages. Through a real-time Network Operations Center (NOC) dashboard, network engineers gain instant visibility into live network trends. This document presents the complete technical abstract, theoretical networking foundation, system topology, low-level implementation details, automated test results, and practical industry applications of the NetTelemetry project.</w:t>
      </w:r>
    </w:p>
    <w:p>
      <w:pPr>
        <w:keepNext/>
        <w:spacing w:before="360" w:after="120"/>
      </w:pPr>
      <w:r>
        <w:rPr>
          <w:rFonts w:ascii="Calibri" w:hAnsi="Calibri"/>
          <w:b/>
          <w:color w:val="1B365D"/>
          <w:sz w:val="29"/>
        </w:rPr>
        <w:t>1. Problem Identification and Objective (Relevance of Project to Computer Networks)</w:t>
      </w:r>
    </w:p>
    <w:p>
      <w:pPr>
        <w:keepNext/>
        <w:spacing w:before="240" w:after="80"/>
      </w:pPr>
      <w:r>
        <w:rPr>
          <w:rFonts w:ascii="Calibri" w:hAnsi="Calibri"/>
          <w:b/>
          <w:color w:val="2E6B9E"/>
          <w:sz w:val="24"/>
        </w:rPr>
        <w:t>1.1 The Problem: Silent Network Degradation Beyond Binary Reachability</w:t>
      </w:r>
    </w:p>
    <w:p>
      <w:pPr>
        <w:spacing w:before="0" w:after="120" w:line="276" w:lineRule="auto"/>
      </w:pPr>
      <w:r>
        <w:rPr>
          <w:rFonts w:ascii="Calibri" w:hAnsi="Calibri"/>
          <w:color w:val="222222"/>
          <w:sz w:val="21"/>
        </w:rPr>
        <w:t>A fundamental reality in computer networking is that a communication link can be technically 'connected' while being functionally unusable for real-world applications. Traditional network diagnostic tools typically answer a simple question: 'Is the destination host up or down?' If a server responds to a single ping packet, the link is categorized as healthy. In modern networks, however, the most destructive network failures do not manifest as complete cable cuts or sudden host shutdowns. Instead, they occur as silent performance degradation:</w:t>
      </w:r>
    </w:p>
    <w:p>
      <w:pPr>
        <w:pStyle w:val="ListBullet"/>
        <w:spacing w:before="0" w:after="60" w:line="276" w:lineRule="auto"/>
      </w:pPr>
      <w:r>
        <w:rPr>
          <w:rFonts w:ascii="Calibri" w:hAnsi="Calibri"/>
          <w:b/>
          <w:color w:val="1B365D"/>
          <w:sz w:val="20"/>
        </w:rPr>
        <w:t xml:space="preserve">Unpredictable Queueing Latency &amp; Bufferbloat: </w:t>
      </w:r>
      <w:r>
        <w:rPr>
          <w:rFonts w:ascii="Calibri" w:hAnsi="Calibri"/>
          <w:color w:val="222222"/>
          <w:sz w:val="20"/>
        </w:rPr>
        <w:t>When intermediate router buffers overflow during periods of high congestion, packet queueing delays skyrocket, transforming a normal 25 ms round-trip link into a 250 ms sluggish connection.</w:t>
      </w:r>
    </w:p>
    <w:p>
      <w:pPr>
        <w:pStyle w:val="ListBullet"/>
        <w:spacing w:before="0" w:after="60" w:line="276" w:lineRule="auto"/>
      </w:pPr>
      <w:r>
        <w:rPr>
          <w:rFonts w:ascii="Calibri" w:hAnsi="Calibri"/>
          <w:b/>
          <w:color w:val="1B365D"/>
          <w:sz w:val="20"/>
        </w:rPr>
        <w:t xml:space="preserve">Intermittent &amp; Micro-Burst Packet Loss: </w:t>
      </w:r>
      <w:r>
        <w:rPr>
          <w:rFonts w:ascii="Calibri" w:hAnsi="Calibri"/>
          <w:color w:val="222222"/>
          <w:sz w:val="20"/>
        </w:rPr>
        <w:t>Dropping just 2% to 5% of packets can cripple TCP throughput by forcing TCP congestion control algorithms (such as Reno or Cubic) into aggressive window reductions and retransmission timeouts.</w:t>
      </w:r>
    </w:p>
    <w:p>
      <w:pPr>
        <w:pStyle w:val="ListBullet"/>
        <w:spacing w:before="0" w:after="60" w:line="276" w:lineRule="auto"/>
      </w:pPr>
      <w:r>
        <w:rPr>
          <w:rFonts w:ascii="Calibri" w:hAnsi="Calibri"/>
          <w:b/>
          <w:color w:val="1B365D"/>
          <w:sz w:val="20"/>
        </w:rPr>
        <w:t xml:space="preserve">Delay Variation (Jitter): </w:t>
      </w:r>
      <w:r>
        <w:rPr>
          <w:rFonts w:ascii="Calibri" w:hAnsi="Calibri"/>
          <w:color w:val="222222"/>
          <w:sz w:val="20"/>
        </w:rPr>
        <w:t>Real-time interactive network applications—such as Voice over IP (VoIP), video conferencing, and online financial trading—rely on predictable packet arrival. Even if average latency is acceptable, high variance (jitter) exhausts jitter buffers and causes severe audio distortion and frame drops.</w:t>
      </w:r>
    </w:p>
    <w:p>
      <w:pPr>
        <w:pStyle w:val="ListBullet"/>
        <w:spacing w:before="0" w:after="60" w:line="276" w:lineRule="auto"/>
      </w:pPr>
      <w:r>
        <w:rPr>
          <w:rFonts w:ascii="Calibri" w:hAnsi="Calibri"/>
          <w:b/>
          <w:color w:val="1B365D"/>
          <w:sz w:val="20"/>
        </w:rPr>
        <w:t xml:space="preserve">Silent Route Flapping &amp; Asymmetric Path Changes: </w:t>
      </w:r>
      <w:r>
        <w:rPr>
          <w:rFonts w:ascii="Calibri" w:hAnsi="Calibri"/>
          <w:color w:val="222222"/>
          <w:sz w:val="20"/>
        </w:rPr>
        <w:t>Dynamic routing protocols (OSPF, BGP) occasionally alter transit autonomous systems (AS) or subnets, changing the number of router hops and path quality without the endpoint's explicit awareness.</w:t>
      </w:r>
    </w:p>
    <w:p>
      <w:pPr>
        <w:keepNext/>
        <w:spacing w:before="240" w:after="80"/>
      </w:pPr>
      <w:r>
        <w:rPr>
          <w:rFonts w:ascii="Calibri" w:hAnsi="Calibri"/>
          <w:b/>
          <w:color w:val="2E6B9E"/>
          <w:sz w:val="24"/>
        </w:rPr>
        <w:t>1.2 Project Objectives</w:t>
      </w:r>
    </w:p>
    <w:p>
      <w:pPr>
        <w:spacing w:before="0" w:after="120" w:line="276" w:lineRule="auto"/>
      </w:pPr>
      <w:r>
        <w:rPr>
          <w:rFonts w:ascii="Calibri" w:hAnsi="Calibri"/>
          <w:color w:val="222222"/>
          <w:sz w:val="21"/>
        </w:rPr>
        <w:t>The primary objective of NetTelemetry is to transition network observation from reactive, manual troubleshooting to continuous, automated, proactive telemetry. The specific technical goals of the project are:</w:t>
      </w:r>
    </w:p>
    <w:p>
      <w:pPr>
        <w:pStyle w:val="ListBullet"/>
        <w:spacing w:before="0" w:after="60" w:line="276" w:lineRule="auto"/>
      </w:pPr>
      <w:r>
        <w:rPr>
          <w:rFonts w:ascii="Calibri" w:hAnsi="Calibri"/>
          <w:b/>
          <w:color w:val="1B365D"/>
          <w:sz w:val="20"/>
        </w:rPr>
        <w:t xml:space="preserve">Continuous Multi-Layer Probing: </w:t>
      </w:r>
      <w:r>
        <w:rPr>
          <w:rFonts w:ascii="Calibri" w:hAnsi="Calibri"/>
          <w:color w:val="222222"/>
          <w:sz w:val="20"/>
        </w:rPr>
        <w:t>Implement automated active measurement probes across both Network Layer (ICMP Echo) and Transport Layer (TCP 3-way handshake and UDP datagrams) without requiring privileged operating system root permissions.</w:t>
      </w:r>
    </w:p>
    <w:p>
      <w:pPr>
        <w:pStyle w:val="ListBullet"/>
        <w:spacing w:before="0" w:after="60" w:line="276" w:lineRule="auto"/>
      </w:pPr>
      <w:r>
        <w:rPr>
          <w:rFonts w:ascii="Calibri" w:hAnsi="Calibri"/>
          <w:b/>
          <w:color w:val="1B365D"/>
          <w:sz w:val="20"/>
        </w:rPr>
        <w:t xml:space="preserve">Real-Time Telemetry Computation: </w:t>
      </w:r>
      <w:r>
        <w:rPr>
          <w:rFonts w:ascii="Calibri" w:hAnsi="Calibri"/>
          <w:color w:val="222222"/>
          <w:sz w:val="20"/>
        </w:rPr>
        <w:t>Compute rolling statistical window metrics including packet loss percentage, link availability, inter-packet delay variation (jitter), and 95th/99th percentile tail latency.</w:t>
      </w:r>
    </w:p>
    <w:p>
      <w:pPr>
        <w:pStyle w:val="ListBullet"/>
        <w:spacing w:before="0" w:after="60" w:line="276" w:lineRule="auto"/>
      </w:pPr>
      <w:r>
        <w:rPr>
          <w:rFonts w:ascii="Calibri" w:hAnsi="Calibri"/>
          <w:b/>
          <w:color w:val="1B365D"/>
          <w:sz w:val="20"/>
        </w:rPr>
        <w:t xml:space="preserve">Automated Baseline &amp; Anomaly Detection: </w:t>
      </w:r>
      <w:r>
        <w:rPr>
          <w:rFonts w:ascii="Calibri" w:hAnsi="Calibri"/>
          <w:color w:val="222222"/>
          <w:sz w:val="20"/>
        </w:rPr>
        <w:t>Establish a statistical rule engine to automatically detect and log anomalous network conditions (e.g., latency spikes exceeding 100 ms, packet loss above 5%, or jitter exceeding 20 ms).</w:t>
      </w:r>
    </w:p>
    <w:p>
      <w:pPr>
        <w:pStyle w:val="ListBullet"/>
        <w:spacing w:before="0" w:after="60" w:line="276" w:lineRule="auto"/>
      </w:pPr>
      <w:r>
        <w:rPr>
          <w:rFonts w:ascii="Calibri" w:hAnsi="Calibri"/>
          <w:b/>
          <w:color w:val="1B365D"/>
          <w:sz w:val="20"/>
        </w:rPr>
        <w:t xml:space="preserve">Centralized Telemetry Persistence &amp; Visualization: </w:t>
      </w:r>
      <w:r>
        <w:rPr>
          <w:rFonts w:ascii="Calibri" w:hAnsi="Calibri"/>
          <w:color w:val="222222"/>
          <w:sz w:val="20"/>
        </w:rPr>
        <w:t>Store all timestamped network measurements in an ACID-compliant relational time-series database and present the live network state via an interactive Network Operations Center (NOC) dashboard.</w:t>
      </w:r>
    </w:p>
    <w:p>
      <w:pPr>
        <w:keepNext/>
        <w:spacing w:before="240" w:after="80"/>
      </w:pPr>
      <w:r>
        <w:rPr>
          <w:rFonts w:ascii="Calibri" w:hAnsi="Calibri"/>
          <w:b/>
          <w:color w:val="2E6B9E"/>
          <w:sz w:val="24"/>
        </w:rPr>
        <w:t>1.3 Direct Relevance to Core Computer Networks Concepts</w:t>
      </w:r>
    </w:p>
    <w:p>
      <w:pPr>
        <w:spacing w:before="0" w:after="120" w:line="276" w:lineRule="auto"/>
      </w:pPr>
      <w:r>
        <w:rPr>
          <w:rFonts w:ascii="Calibri" w:hAnsi="Calibri"/>
          <w:color w:val="222222"/>
          <w:sz w:val="21"/>
        </w:rPr>
        <w:t>NetTelemetry is grounded directly in the foundational principles of Computer Networks (CN) as defined in the standard curriculum (Tanenbaum, Kurose &amp; Ross). It directly exercises and demonstrates core networking mechanisms: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592"/>
            <w:shd w:fill="1B365D"/>
            <w:tcMar>
              <w:top w:w="150" w:type="dxa"/>
              <w:bottom w:w="150" w:type="dxa"/>
              <w:left w:w="160" w:type="dxa"/>
              <w:right w:w="160" w:type="dxa"/>
            </w:tcMar>
          </w:tcPr>
          <w:p>
            <w:pPr>
              <w:spacing w:before="0" w:after="0"/>
              <w:jc w:val="left"/>
            </w:pPr>
            <w:r>
              <w:rPr>
                <w:rFonts w:ascii="Calibri" w:hAnsi="Calibri"/>
                <w:b/>
                <w:color w:val="FFFFFF"/>
                <w:sz w:val="19"/>
              </w:rPr>
              <w:t>Networking Principle</w:t>
            </w:r>
          </w:p>
        </w:tc>
        <w:tc>
          <w:tcPr>
            <w:tcW w:type="dxa" w:w="2016"/>
            <w:shd w:fill="1B365D"/>
            <w:tcMar>
              <w:top w:w="150" w:type="dxa"/>
              <w:bottom w:w="150" w:type="dxa"/>
              <w:left w:w="160" w:type="dxa"/>
              <w:right w:w="160" w:type="dxa"/>
            </w:tcMar>
          </w:tcPr>
          <w:p>
            <w:pPr>
              <w:spacing w:before="0" w:after="0"/>
              <w:jc w:val="center"/>
            </w:pPr>
            <w:r>
              <w:rPr>
                <w:rFonts w:ascii="Calibri" w:hAnsi="Calibri"/>
                <w:b/>
                <w:color w:val="FFFFFF"/>
                <w:sz w:val="19"/>
              </w:rPr>
              <w:t>Layer / Protocol</w:t>
            </w:r>
          </w:p>
        </w:tc>
        <w:tc>
          <w:tcPr>
            <w:tcW w:type="dxa" w:w="4752"/>
            <w:shd w:fill="1B365D"/>
            <w:tcMar>
              <w:top w:w="150" w:type="dxa"/>
              <w:bottom w:w="150" w:type="dxa"/>
              <w:left w:w="160" w:type="dxa"/>
              <w:right w:w="160" w:type="dxa"/>
            </w:tcMar>
          </w:tcPr>
          <w:p>
            <w:pPr>
              <w:spacing w:before="0" w:after="0"/>
              <w:jc w:val="center"/>
            </w:pPr>
            <w:r>
              <w:rPr>
                <w:rFonts w:ascii="Calibri" w:hAnsi="Calibri"/>
                <w:b/>
                <w:color w:val="FFFFFF"/>
                <w:sz w:val="19"/>
              </w:rPr>
              <w:t>How NetTelemetry Implements the Concept</w:t>
            </w:r>
          </w:p>
        </w:tc>
      </w:tr>
      <w:tr>
        <w:tc>
          <w:tcPr>
            <w:tcW w:type="dxa" w:w="2592"/>
            <w:shd w:fill="FFFFFF"/>
            <w:tcMar>
              <w:top w:w="120" w:type="dxa"/>
              <w:bottom w:w="120" w:type="dxa"/>
              <w:left w:w="150" w:type="dxa"/>
              <w:right w:w="150" w:type="dxa"/>
            </w:tcMar>
          </w:tcPr>
          <w:p>
            <w:pPr>
              <w:spacing w:before="0" w:after="0" w:line="252" w:lineRule="auto"/>
              <w:jc w:val="left"/>
            </w:pPr>
            <w:r>
              <w:rPr>
                <w:rFonts w:ascii="Calibri" w:hAnsi="Calibri"/>
                <w:b/>
                <w:color w:val="222222"/>
                <w:sz w:val="18"/>
              </w:rPr>
              <w:t>Round-Trip Time (RTT)</w:t>
            </w:r>
          </w:p>
        </w:tc>
        <w:tc>
          <w:tcPr>
            <w:tcW w:type="dxa" w:w="2016"/>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Layer 3 (ICMP) / Layer 4 (TCP)</w:t>
            </w:r>
          </w:p>
        </w:tc>
        <w:tc>
          <w:tcPr>
            <w:tcW w:type="dxa" w:w="475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Measures the precise elapsed time between transmitting a request probe and receiving the corresponding network reply, capturing total transmission, propagation, and queueing delays.</w:t>
            </w:r>
          </w:p>
        </w:tc>
      </w:tr>
      <w:tr>
        <w:tc>
          <w:tcPr>
            <w:tcW w:type="dxa" w:w="2592"/>
            <w:shd w:fill="F8FAFC"/>
            <w:tcMar>
              <w:top w:w="120" w:type="dxa"/>
              <w:bottom w:w="120" w:type="dxa"/>
              <w:left w:w="150" w:type="dxa"/>
              <w:right w:w="150" w:type="dxa"/>
            </w:tcMar>
          </w:tcPr>
          <w:p>
            <w:pPr>
              <w:spacing w:before="0" w:after="0" w:line="252" w:lineRule="auto"/>
              <w:jc w:val="left"/>
            </w:pPr>
            <w:r>
              <w:rPr>
                <w:rFonts w:ascii="Calibri" w:hAnsi="Calibri"/>
                <w:b/>
                <w:color w:val="222222"/>
                <w:sz w:val="18"/>
              </w:rPr>
              <w:t>Time-To-Live (TTL) &amp; Hop Limit</w:t>
            </w:r>
          </w:p>
        </w:tc>
        <w:tc>
          <w:tcPr>
            <w:tcW w:type="dxa" w:w="2016"/>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Layer 3 (IPv4 Header)</w:t>
            </w:r>
          </w:p>
        </w:tc>
        <w:tc>
          <w:tcPr>
            <w:tcW w:type="dxa" w:w="475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Extracts the 8-bit TTL field from returning ICMP reply headers to detect router hop counts, routing path shifts, and operating system network stack defaults.</w:t>
            </w:r>
          </w:p>
        </w:tc>
      </w:tr>
      <w:tr>
        <w:tc>
          <w:tcPr>
            <w:tcW w:type="dxa" w:w="2592"/>
            <w:shd w:fill="FFFFFF"/>
            <w:tcMar>
              <w:top w:w="120" w:type="dxa"/>
              <w:bottom w:w="120" w:type="dxa"/>
              <w:left w:w="150" w:type="dxa"/>
              <w:right w:w="150" w:type="dxa"/>
            </w:tcMar>
          </w:tcPr>
          <w:p>
            <w:pPr>
              <w:spacing w:before="0" w:after="0" w:line="252" w:lineRule="auto"/>
              <w:jc w:val="left"/>
            </w:pPr>
            <w:r>
              <w:rPr>
                <w:rFonts w:ascii="Calibri" w:hAnsi="Calibri"/>
                <w:b/>
                <w:color w:val="222222"/>
                <w:sz w:val="18"/>
              </w:rPr>
              <w:t>Connection Handshake Latency</w:t>
            </w:r>
          </w:p>
        </w:tc>
        <w:tc>
          <w:tcPr>
            <w:tcW w:type="dxa" w:w="2016"/>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Layer 4 (TCP / RFC 793)</w:t>
            </w:r>
          </w:p>
        </w:tc>
        <w:tc>
          <w:tcPr>
            <w:tcW w:type="dxa" w:w="475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Measures the duration required to complete the TCP three-way handshake (SYN → SYN-ACK → ACK) to evaluate transport service responsiveness.</w:t>
            </w:r>
          </w:p>
        </w:tc>
      </w:tr>
      <w:tr>
        <w:tc>
          <w:tcPr>
            <w:tcW w:type="dxa" w:w="2592"/>
            <w:shd w:fill="F8FAFC"/>
            <w:tcMar>
              <w:top w:w="120" w:type="dxa"/>
              <w:bottom w:w="120" w:type="dxa"/>
              <w:left w:w="150" w:type="dxa"/>
              <w:right w:w="150" w:type="dxa"/>
            </w:tcMar>
          </w:tcPr>
          <w:p>
            <w:pPr>
              <w:spacing w:before="0" w:after="0" w:line="252" w:lineRule="auto"/>
              <w:jc w:val="left"/>
            </w:pPr>
            <w:r>
              <w:rPr>
                <w:rFonts w:ascii="Calibri" w:hAnsi="Calibri"/>
                <w:b/>
                <w:color w:val="222222"/>
                <w:sz w:val="18"/>
              </w:rPr>
              <w:t>Best-Effort Delivery &amp; Drop</w:t>
            </w:r>
          </w:p>
        </w:tc>
        <w:tc>
          <w:tcPr>
            <w:tcW w:type="dxa" w:w="2016"/>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Layer 4 (UDP / RFC 768)</w:t>
            </w:r>
          </w:p>
        </w:tc>
        <w:tc>
          <w:tcPr>
            <w:tcW w:type="dxa" w:w="475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Observes connectionless datagram behavior, verifying non-guaranteed delivery and measuring unacknowledged packet loss without transport retransmission.</w:t>
            </w:r>
          </w:p>
        </w:tc>
      </w:tr>
      <w:tr>
        <w:tc>
          <w:tcPr>
            <w:tcW w:type="dxa" w:w="2592"/>
            <w:shd w:fill="FFFFFF"/>
            <w:tcMar>
              <w:top w:w="120" w:type="dxa"/>
              <w:bottom w:w="120" w:type="dxa"/>
              <w:left w:w="150" w:type="dxa"/>
              <w:right w:w="150" w:type="dxa"/>
            </w:tcMar>
          </w:tcPr>
          <w:p>
            <w:pPr>
              <w:spacing w:before="0" w:after="0" w:line="252" w:lineRule="auto"/>
              <w:jc w:val="left"/>
            </w:pPr>
            <w:r>
              <w:rPr>
                <w:rFonts w:ascii="Calibri" w:hAnsi="Calibri"/>
                <w:b/>
                <w:color w:val="222222"/>
                <w:sz w:val="18"/>
              </w:rPr>
              <w:t>Statistical Telemetry &amp; Jitter</w:t>
            </w:r>
          </w:p>
        </w:tc>
        <w:tc>
          <w:tcPr>
            <w:tcW w:type="dxa" w:w="2016"/>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Network QoS / Performance</w:t>
            </w:r>
          </w:p>
        </w:tc>
        <w:tc>
          <w:tcPr>
            <w:tcW w:type="dxa" w:w="475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Calculates RFC 3550 inter-arrival jitter from consecutive packet arrivals to model real-time multimedia network quality.</w:t>
            </w:r>
          </w:p>
        </w:tc>
      </w:tr>
    </w:tbl>
    <w:p>
      <w:pPr>
        <w:spacing w:after="160"/>
      </w:pPr>
    </w:p>
    <w:tbl>
      <w:tblPr>
        <w:tblW w:type="auto" w:w="0"/>
        <w:jc w:val="center"/>
        <w:tblLook w:firstColumn="1" w:firstRow="1" w:lastColumn="0" w:lastRow="0" w:noHBand="0" w:noVBand="1" w:val="04A0"/>
      </w:tblPr>
      <w:tblGrid>
        <w:gridCol w:w="9360"/>
      </w:tblGrid>
      <w:tr>
        <w:tc>
          <w:tcPr>
            <w:tcW w:type="dxa" w:w="9360"/>
            <w:shd w:fill="F4F7FB"/>
            <w:tcMar>
              <w:top w:w="130" w:type="dxa"/>
              <w:bottom w:w="130" w:type="dxa"/>
              <w:left w:w="180" w:type="dxa"/>
              <w:right w:w="180" w:type="dxa"/>
            </w:tcMar>
            <w:tcBorders>
              <w:top w:val="none"/>
              <w:left w:val="single" w:sz="24" w:space="0" w:color="1B365D"/>
              <w:bottom w:val="none"/>
              <w:right w:val="none"/>
            </w:tcBorders>
          </w:tcPr>
          <w:p>
            <w:pPr>
              <w:spacing w:before="0" w:after="0" w:line="276" w:lineRule="auto"/>
            </w:pPr>
            <w:r>
              <w:rPr>
                <w:rFonts w:ascii="Calibri" w:hAnsi="Calibri"/>
                <w:b/>
                <w:color w:val="1B365D"/>
                <w:sz w:val="19"/>
              </w:rPr>
              <w:t>KEY NETWORKING CONCEPT: Active Probing vs. Passive Packet Sniffing</w:t>
              <w:br/>
            </w:r>
            <w:r>
              <w:rPr>
                <w:rFonts w:ascii="Calibri" w:hAnsi="Calibri"/>
                <w:color w:val="222222"/>
                <w:sz w:val="19"/>
              </w:rPr>
              <w:t>Passive sniffing (e.g., Wireshark) requires tapping physical switch ports (SPAN/mirroring) and analyzing existing user traffic, which incurs privacy concerns and high data volume. In contrast, NetTelemetry utilizes 'Active Probing'—injecting lightweight, synthetic network packets at controlled intervals. This allows predictable, non-intrusive health assessment of both internal gateways and external public cloud endpoints regardless of whether user traffic is currently flowing.</w:t>
            </w:r>
          </w:p>
        </w:tc>
      </w:tr>
    </w:tbl>
    <w:p>
      <w:pPr>
        <w:spacing w:after="120"/>
      </w:pPr>
    </w:p>
    <w:p>
      <w:pPr>
        <w:spacing w:before="160" w:after="40"/>
        <w:jc w:val="center"/>
      </w:pPr>
      <w:r>
        <w:drawing>
          <wp:inline xmlns:a="http://schemas.openxmlformats.org/drawingml/2006/main" xmlns:pic="http://schemas.openxmlformats.org/drawingml/2006/picture">
            <wp:extent cx="5669280" cy="3843936"/>
            <wp:docPr id="1" name="Picture 1"/>
            <wp:cNvGraphicFramePr>
              <a:graphicFrameLocks noChangeAspect="1"/>
            </wp:cNvGraphicFramePr>
            <a:graphic>
              <a:graphicData uri="http://schemas.openxmlformats.org/drawingml/2006/picture">
                <pic:pic>
                  <pic:nvPicPr>
                    <pic:cNvPr id="0" name="diagram1_architecture.png"/>
                    <pic:cNvPicPr/>
                  </pic:nvPicPr>
                  <pic:blipFill>
                    <a:blip r:embed="rId11"/>
                    <a:stretch>
                      <a:fillRect/>
                    </a:stretch>
                  </pic:blipFill>
                  <pic:spPr>
                    <a:xfrm>
                      <a:off x="0" y="0"/>
                      <a:ext cx="5669280" cy="3843936"/>
                    </a:xfrm>
                    <a:prstGeom prst="rect"/>
                  </pic:spPr>
                </pic:pic>
              </a:graphicData>
            </a:graphic>
          </wp:inline>
        </w:drawing>
      </w:r>
    </w:p>
    <w:p>
      <w:pPr>
        <w:spacing w:before="0" w:after="200"/>
        <w:jc w:val="center"/>
      </w:pPr>
      <w:r>
        <w:rPr>
          <w:rFonts w:ascii="Calibri" w:hAnsi="Calibri"/>
          <w:b/>
          <w:i/>
          <w:color w:val="64748B"/>
          <w:sz w:val="18"/>
        </w:rPr>
        <w:t>Figure 1: NetTelemetry Multi-Layer Network Probing Architecture &amp; End-to-End Processing Pipeline.</w:t>
      </w:r>
    </w:p>
    <w:p>
      <w:pPr>
        <w:keepNext/>
        <w:spacing w:before="360" w:after="120"/>
      </w:pPr>
      <w:r>
        <w:rPr>
          <w:rFonts w:ascii="Calibri" w:hAnsi="Calibri"/>
          <w:b/>
          <w:color w:val="1B365D"/>
          <w:sz w:val="29"/>
        </w:rPr>
        <w:t>2. Network Topology Architecture and Protocols (What Technology, Topology and Protocol Used)</w:t>
      </w:r>
    </w:p>
    <w:p>
      <w:pPr>
        <w:keepNext/>
        <w:spacing w:before="240" w:after="80"/>
      </w:pPr>
      <w:r>
        <w:rPr>
          <w:rFonts w:ascii="Calibri" w:hAnsi="Calibri"/>
          <w:b/>
          <w:color w:val="2E6B9E"/>
          <w:sz w:val="24"/>
        </w:rPr>
        <w:t>2.1 Network Topology Model: Distributed Star Probing Architecture</w:t>
      </w:r>
    </w:p>
    <w:p>
      <w:pPr>
        <w:spacing w:before="0" w:after="120" w:line="276" w:lineRule="auto"/>
      </w:pPr>
      <w:r>
        <w:rPr>
          <w:rFonts w:ascii="Calibri" w:hAnsi="Calibri"/>
          <w:color w:val="222222"/>
          <w:sz w:val="21"/>
        </w:rPr>
        <w:t>In network design, topology defines the physical and logical arrangement of communicating nodes. NetTelemetry operates on a Distributed Star (Hub-and-Spoke) Active Probing Topology. In this topology:</w:t>
      </w:r>
    </w:p>
    <w:p>
      <w:pPr>
        <w:pStyle w:val="ListBullet"/>
        <w:spacing w:before="0" w:after="60" w:line="276" w:lineRule="auto"/>
      </w:pPr>
      <w:r>
        <w:rPr>
          <w:rFonts w:ascii="Calibri" w:hAnsi="Calibri"/>
          <w:b/>
          <w:color w:val="1B365D"/>
          <w:sz w:val="20"/>
        </w:rPr>
        <w:t xml:space="preserve">Central Telemetry Collector (The Probing Hub): </w:t>
      </w:r>
      <w:r>
        <w:rPr>
          <w:rFonts w:ascii="Calibri" w:hAnsi="Calibri"/>
          <w:color w:val="222222"/>
          <w:sz w:val="20"/>
        </w:rPr>
        <w:t>The host running NetTelemetry acts as the centralized observation hub. It maintains independent probing threads that systematically dispatch synthetic network packets outward across diverse network boundaries.</w:t>
      </w:r>
    </w:p>
    <w:p>
      <w:pPr>
        <w:pStyle w:val="ListBullet"/>
        <w:spacing w:before="0" w:after="60" w:line="276" w:lineRule="auto"/>
      </w:pPr>
      <w:r>
        <w:rPr>
          <w:rFonts w:ascii="Calibri" w:hAnsi="Calibri"/>
          <w:b/>
          <w:color w:val="1B365D"/>
          <w:sz w:val="20"/>
        </w:rPr>
        <w:t xml:space="preserve">Local Subnet &amp; Default Gateway (First-Hop Spoke): </w:t>
      </w:r>
      <w:r>
        <w:rPr>
          <w:rFonts w:ascii="Calibri" w:hAnsi="Calibri"/>
          <w:color w:val="222222"/>
          <w:sz w:val="20"/>
        </w:rPr>
        <w:t>Probes to 192.168.1.1 / local default gateway isolate the immediate local area network (LAN) health, verifying whether Ethernet/Wi-Fi switch fabrics or local router interface buffers are congested.</w:t>
      </w:r>
    </w:p>
    <w:p>
      <w:pPr>
        <w:pStyle w:val="ListBullet"/>
        <w:spacing w:before="0" w:after="60" w:line="276" w:lineRule="auto"/>
      </w:pPr>
      <w:r>
        <w:rPr>
          <w:rFonts w:ascii="Calibri" w:hAnsi="Calibri"/>
          <w:b/>
          <w:color w:val="1B365D"/>
          <w:sz w:val="20"/>
        </w:rPr>
        <w:t xml:space="preserve">Enterprise Intranet Services (Internal Spokes): </w:t>
      </w:r>
      <w:r>
        <w:rPr>
          <w:rFonts w:ascii="Calibri" w:hAnsi="Calibri"/>
          <w:color w:val="222222"/>
          <w:sz w:val="20"/>
        </w:rPr>
        <w:t>Probes directed to local application servers (e.g., 127.0.0.1 or lab intranet hosts) test local TCP listening ports (e.g., HTTP 80/8080) and UDP echo ports to evaluate transport-layer server responsiveness.</w:t>
      </w:r>
    </w:p>
    <w:p>
      <w:pPr>
        <w:pStyle w:val="ListBullet"/>
        <w:spacing w:before="0" w:after="60" w:line="276" w:lineRule="auto"/>
      </w:pPr>
      <w:r>
        <w:rPr>
          <w:rFonts w:ascii="Calibri" w:hAnsi="Calibri"/>
          <w:b/>
          <w:color w:val="1B365D"/>
          <w:sz w:val="20"/>
        </w:rPr>
        <w:t xml:space="preserve">Public Anycast DNS Resolvers (Edge Internet Spokes): </w:t>
      </w:r>
      <w:r>
        <w:rPr>
          <w:rFonts w:ascii="Calibri" w:hAnsi="Calibri"/>
          <w:color w:val="222222"/>
          <w:sz w:val="20"/>
        </w:rPr>
        <w:t>Probes to Google Public DNS (8.8.8.8) and Cloudflare DNS (1.1.1.1) provide a rock-solid, geo-distributed Internet health benchmark. Because these services use Anycast BGP routing, latency variations reflect ISP transit and edge peering link quality.</w:t>
      </w:r>
    </w:p>
    <w:p>
      <w:pPr>
        <w:pStyle w:val="ListBullet"/>
        <w:spacing w:before="0" w:after="60" w:line="276" w:lineRule="auto"/>
      </w:pPr>
      <w:r>
        <w:rPr>
          <w:rFonts w:ascii="Calibri" w:hAnsi="Calibri"/>
          <w:b/>
          <w:color w:val="1B365D"/>
          <w:sz w:val="20"/>
        </w:rPr>
        <w:t xml:space="preserve">Public Cloud &amp; Git Infrastructure (WAN Spokes): </w:t>
      </w:r>
      <w:r>
        <w:rPr>
          <w:rFonts w:ascii="Calibri" w:hAnsi="Calibri"/>
          <w:color w:val="222222"/>
          <w:sz w:val="20"/>
        </w:rPr>
        <w:t>Probes to remote web targets (GitHub 140.82.121.3, Microsoft 20.190.164.4, AWS 52.94.126.1) measure transit latency across wide area networks (WAN) and multiple Autonomous Systems (AS).</w:t>
      </w:r>
    </w:p>
    <w:p>
      <w:pPr>
        <w:spacing w:before="160" w:after="40"/>
        <w:jc w:val="center"/>
      </w:pPr>
      <w:r>
        <w:drawing>
          <wp:inline xmlns:a="http://schemas.openxmlformats.org/drawingml/2006/main" xmlns:pic="http://schemas.openxmlformats.org/drawingml/2006/picture">
            <wp:extent cx="5669280" cy="4018907"/>
            <wp:docPr id="2" name="Picture 2"/>
            <wp:cNvGraphicFramePr>
              <a:graphicFrameLocks noChangeAspect="1"/>
            </wp:cNvGraphicFramePr>
            <a:graphic>
              <a:graphicData uri="http://schemas.openxmlformats.org/drawingml/2006/picture">
                <pic:pic>
                  <pic:nvPicPr>
                    <pic:cNvPr id="0" name="diagram2_topology.png"/>
                    <pic:cNvPicPr/>
                  </pic:nvPicPr>
                  <pic:blipFill>
                    <a:blip r:embed="rId12"/>
                    <a:stretch>
                      <a:fillRect/>
                    </a:stretch>
                  </pic:blipFill>
                  <pic:spPr>
                    <a:xfrm>
                      <a:off x="0" y="0"/>
                      <a:ext cx="5669280" cy="4018907"/>
                    </a:xfrm>
                    <a:prstGeom prst="rect"/>
                  </pic:spPr>
                </pic:pic>
              </a:graphicData>
            </a:graphic>
          </wp:inline>
        </w:drawing>
      </w:r>
    </w:p>
    <w:p>
      <w:pPr>
        <w:spacing w:before="0" w:after="200"/>
        <w:jc w:val="center"/>
      </w:pPr>
      <w:r>
        <w:rPr>
          <w:rFonts w:ascii="Calibri" w:hAnsi="Calibri"/>
          <w:b/>
          <w:i/>
          <w:color w:val="64748B"/>
          <w:sz w:val="18"/>
        </w:rPr>
        <w:t>Figure 2: Distributed Star Active Monitoring Topology across Local, Intranet, and Global Cloud Targets.</w:t>
      </w:r>
    </w:p>
    <w:p>
      <w:pPr>
        <w:keepNext/>
        <w:spacing w:before="240" w:after="80"/>
      </w:pPr>
      <w:r>
        <w:rPr>
          <w:rFonts w:ascii="Calibri" w:hAnsi="Calibri"/>
          <w:b/>
          <w:color w:val="2E6B9E"/>
          <w:sz w:val="24"/>
        </w:rPr>
        <w:t>2.2 Protocols Utilized and Their Layered Functions</w:t>
      </w:r>
    </w:p>
    <w:p>
      <w:pPr>
        <w:spacing w:before="0" w:after="120" w:line="276" w:lineRule="auto"/>
      </w:pPr>
      <w:r>
        <w:rPr>
          <w:rFonts w:ascii="Calibri" w:hAnsi="Calibri"/>
          <w:color w:val="222222"/>
          <w:sz w:val="21"/>
        </w:rPr>
        <w:t>NetTelemetry is built upon standard Internet Engineering Task Force (IETF) RFC protocol specifications. Each protocol serves a distinct and vital role in the network measurement hierarchy:</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1728"/>
            <w:shd w:fill="1B365D"/>
            <w:tcMar>
              <w:top w:w="150" w:type="dxa"/>
              <w:bottom w:w="150" w:type="dxa"/>
              <w:left w:w="160" w:type="dxa"/>
              <w:right w:w="160" w:type="dxa"/>
            </w:tcMar>
          </w:tcPr>
          <w:p>
            <w:pPr>
              <w:spacing w:before="0" w:after="0"/>
              <w:jc w:val="left"/>
            </w:pPr>
            <w:r>
              <w:rPr>
                <w:rFonts w:ascii="Calibri" w:hAnsi="Calibri"/>
                <w:b/>
                <w:color w:val="FFFFFF"/>
                <w:sz w:val="19"/>
              </w:rPr>
              <w:t>Protocol</w:t>
            </w:r>
          </w:p>
        </w:tc>
        <w:tc>
          <w:tcPr>
            <w:tcW w:type="dxa" w:w="1728"/>
            <w:shd w:fill="1B365D"/>
            <w:tcMar>
              <w:top w:w="150" w:type="dxa"/>
              <w:bottom w:w="150" w:type="dxa"/>
              <w:left w:w="160" w:type="dxa"/>
              <w:right w:w="160" w:type="dxa"/>
            </w:tcMar>
          </w:tcPr>
          <w:p>
            <w:pPr>
              <w:spacing w:before="0" w:after="0"/>
              <w:jc w:val="center"/>
            </w:pPr>
            <w:r>
              <w:rPr>
                <w:rFonts w:ascii="Calibri" w:hAnsi="Calibri"/>
                <w:b/>
                <w:color w:val="FFFFFF"/>
                <w:sz w:val="19"/>
              </w:rPr>
              <w:t>RFC Standard</w:t>
            </w:r>
          </w:p>
        </w:tc>
        <w:tc>
          <w:tcPr>
            <w:tcW w:type="dxa" w:w="1872"/>
            <w:shd w:fill="1B365D"/>
            <w:tcMar>
              <w:top w:w="150" w:type="dxa"/>
              <w:bottom w:w="150" w:type="dxa"/>
              <w:left w:w="160" w:type="dxa"/>
              <w:right w:w="160" w:type="dxa"/>
            </w:tcMar>
          </w:tcPr>
          <w:p>
            <w:pPr>
              <w:spacing w:before="0" w:after="0"/>
              <w:jc w:val="center"/>
            </w:pPr>
            <w:r>
              <w:rPr>
                <w:rFonts w:ascii="Calibri" w:hAnsi="Calibri"/>
                <w:b/>
                <w:color w:val="FFFFFF"/>
                <w:sz w:val="19"/>
              </w:rPr>
              <w:t>OSI Layer</w:t>
            </w:r>
          </w:p>
        </w:tc>
        <w:tc>
          <w:tcPr>
            <w:tcW w:type="dxa" w:w="4032"/>
            <w:shd w:fill="1B365D"/>
            <w:tcMar>
              <w:top w:w="150" w:type="dxa"/>
              <w:bottom w:w="150" w:type="dxa"/>
              <w:left w:w="160" w:type="dxa"/>
              <w:right w:w="160" w:type="dxa"/>
            </w:tcMar>
          </w:tcPr>
          <w:p>
            <w:pPr>
              <w:spacing w:before="0" w:after="0"/>
              <w:jc w:val="center"/>
            </w:pPr>
            <w:r>
              <w:rPr>
                <w:rFonts w:ascii="Calibri" w:hAnsi="Calibri"/>
                <w:b/>
                <w:color w:val="FFFFFF"/>
                <w:sz w:val="19"/>
              </w:rPr>
              <w:t>Role in NetTelemetry</w:t>
            </w:r>
          </w:p>
        </w:tc>
      </w:tr>
      <w:tr>
        <w:tc>
          <w:tcPr>
            <w:tcW w:type="dxa" w:w="1728"/>
            <w:shd w:fill="FFFFFF"/>
            <w:tcMar>
              <w:top w:w="120" w:type="dxa"/>
              <w:bottom w:w="120" w:type="dxa"/>
              <w:left w:w="150" w:type="dxa"/>
              <w:right w:w="150" w:type="dxa"/>
            </w:tcMar>
          </w:tcPr>
          <w:p>
            <w:pPr>
              <w:spacing w:before="0" w:after="0" w:line="252" w:lineRule="auto"/>
              <w:jc w:val="left"/>
            </w:pPr>
            <w:r>
              <w:rPr>
                <w:rFonts w:ascii="Calibri" w:hAnsi="Calibri"/>
                <w:b/>
                <w:color w:val="222222"/>
                <w:sz w:val="18"/>
              </w:rPr>
              <w:t>ICMP</w:t>
            </w:r>
          </w:p>
        </w:tc>
        <w:tc>
          <w:tcPr>
            <w:tcW w:type="dxa" w:w="1728"/>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RFC 792</w:t>
            </w:r>
          </w:p>
        </w:tc>
        <w:tc>
          <w:tcPr>
            <w:tcW w:type="dxa" w:w="187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Layer 3 (Network)</w:t>
            </w:r>
          </w:p>
        </w:tc>
        <w:tc>
          <w:tcPr>
            <w:tcW w:type="dxa" w:w="403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Sends Type 8 (Echo Request) and processes Type 0 (Echo Reply). Captures round-trip delay, packet drop, and hop TTL.</w:t>
            </w:r>
          </w:p>
        </w:tc>
      </w:tr>
      <w:tr>
        <w:tc>
          <w:tcPr>
            <w:tcW w:type="dxa" w:w="1728"/>
            <w:shd w:fill="F8FAFC"/>
            <w:tcMar>
              <w:top w:w="120" w:type="dxa"/>
              <w:bottom w:w="120" w:type="dxa"/>
              <w:left w:w="150" w:type="dxa"/>
              <w:right w:w="150" w:type="dxa"/>
            </w:tcMar>
          </w:tcPr>
          <w:p>
            <w:pPr>
              <w:spacing w:before="0" w:after="0" w:line="252" w:lineRule="auto"/>
              <w:jc w:val="left"/>
            </w:pPr>
            <w:r>
              <w:rPr>
                <w:rFonts w:ascii="Calibri" w:hAnsi="Calibri"/>
                <w:b/>
                <w:color w:val="222222"/>
                <w:sz w:val="18"/>
              </w:rPr>
              <w:t>TCP</w:t>
            </w:r>
          </w:p>
        </w:tc>
        <w:tc>
          <w:tcPr>
            <w:tcW w:type="dxa" w:w="1728"/>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RFC 793</w:t>
            </w:r>
          </w:p>
        </w:tc>
        <w:tc>
          <w:tcPr>
            <w:tcW w:type="dxa" w:w="187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Layer 4 (Transport)</w:t>
            </w:r>
          </w:p>
        </w:tc>
        <w:tc>
          <w:tcPr>
            <w:tcW w:type="dxa" w:w="403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Executes three-way connection handshake (SYN → SYN-ACK → ACK). Measures port reachability and connection setup latency.</w:t>
            </w:r>
          </w:p>
        </w:tc>
      </w:tr>
      <w:tr>
        <w:tc>
          <w:tcPr>
            <w:tcW w:type="dxa" w:w="1728"/>
            <w:shd w:fill="FFFFFF"/>
            <w:tcMar>
              <w:top w:w="120" w:type="dxa"/>
              <w:bottom w:w="120" w:type="dxa"/>
              <w:left w:w="150" w:type="dxa"/>
              <w:right w:w="150" w:type="dxa"/>
            </w:tcMar>
          </w:tcPr>
          <w:p>
            <w:pPr>
              <w:spacing w:before="0" w:after="0" w:line="252" w:lineRule="auto"/>
              <w:jc w:val="left"/>
            </w:pPr>
            <w:r>
              <w:rPr>
                <w:rFonts w:ascii="Calibri" w:hAnsi="Calibri"/>
                <w:b/>
                <w:color w:val="222222"/>
                <w:sz w:val="18"/>
              </w:rPr>
              <w:t>UDP</w:t>
            </w:r>
          </w:p>
        </w:tc>
        <w:tc>
          <w:tcPr>
            <w:tcW w:type="dxa" w:w="1728"/>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RFC 768</w:t>
            </w:r>
          </w:p>
        </w:tc>
        <w:tc>
          <w:tcPr>
            <w:tcW w:type="dxa" w:w="187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Layer 4 (Transport)</w:t>
            </w:r>
          </w:p>
        </w:tc>
        <w:tc>
          <w:tcPr>
            <w:tcW w:type="dxa" w:w="403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Sends connectionless test datagrams to verify best-effort delivery and unacknowledged transport delays.</w:t>
            </w:r>
          </w:p>
        </w:tc>
      </w:tr>
      <w:tr>
        <w:tc>
          <w:tcPr>
            <w:tcW w:type="dxa" w:w="1728"/>
            <w:shd w:fill="F8FAFC"/>
            <w:tcMar>
              <w:top w:w="120" w:type="dxa"/>
              <w:bottom w:w="120" w:type="dxa"/>
              <w:left w:w="150" w:type="dxa"/>
              <w:right w:w="150" w:type="dxa"/>
            </w:tcMar>
          </w:tcPr>
          <w:p>
            <w:pPr>
              <w:spacing w:before="0" w:after="0" w:line="252" w:lineRule="auto"/>
              <w:jc w:val="left"/>
            </w:pPr>
            <w:r>
              <w:rPr>
                <w:rFonts w:ascii="Calibri" w:hAnsi="Calibri"/>
                <w:b/>
                <w:color w:val="222222"/>
                <w:sz w:val="18"/>
              </w:rPr>
              <w:t>IPv4 &amp; DNS</w:t>
            </w:r>
          </w:p>
        </w:tc>
        <w:tc>
          <w:tcPr>
            <w:tcW w:type="dxa" w:w="1728"/>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RFC 791 / RFC 1035</w:t>
            </w:r>
          </w:p>
        </w:tc>
        <w:tc>
          <w:tcPr>
            <w:tcW w:type="dxa" w:w="187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Layers 3 &amp; 7</w:t>
            </w:r>
          </w:p>
        </w:tc>
        <w:tc>
          <w:tcPr>
            <w:tcW w:type="dxa" w:w="403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Translates hostnames into 32-bit IPv4 addresses (gethostbyname) and delivers IP packets across routed hops.</w:t>
            </w:r>
          </w:p>
        </w:tc>
      </w:tr>
    </w:tbl>
    <w:p>
      <w:pPr>
        <w:spacing w:after="160"/>
      </w:pPr>
    </w:p>
    <w:p>
      <w:pPr>
        <w:keepNext/>
        <w:spacing w:before="160" w:after="40"/>
      </w:pPr>
      <w:r>
        <w:rPr>
          <w:rFonts w:ascii="Calibri" w:hAnsi="Calibri"/>
          <w:b/>
          <w:color w:val="008080"/>
          <w:sz w:val="21"/>
        </w:rPr>
        <w:t>Protocol Deep-Dive: ICMP vs. TCP Measurement Dynamics</w:t>
      </w:r>
    </w:p>
    <w:p>
      <w:pPr>
        <w:spacing w:before="0" w:after="120" w:line="276" w:lineRule="auto"/>
      </w:pPr>
      <w:r>
        <w:rPr>
          <w:rFonts w:ascii="Calibri" w:hAnsi="Calibri"/>
          <w:color w:val="222222"/>
          <w:sz w:val="21"/>
        </w:rPr>
        <w:t>Understanding the difference between ICMP and TCP measurements is essential for computer network analysis:</w:t>
      </w:r>
    </w:p>
    <w:p>
      <w:pPr>
        <w:spacing w:before="0" w:after="120" w:line="276" w:lineRule="auto"/>
      </w:pPr>
      <w:r>
        <w:rPr>
          <w:rFonts w:ascii="Calibri" w:hAnsi="Calibri"/>
          <w:color w:val="222222"/>
          <w:sz w:val="21"/>
        </w:rPr>
        <w:t>1. ICMP (Internet Control Message Protocol) is a network-layer control protocol that does not establish a connection, allocate socket buffers, or negotiate flow control. An ICMP Echo Request is answered directly by the operating system kernel or router firmware. As a result, ICMP RTT represents the pure transmission and propagation latency of the physical and routed path.</w:t>
      </w:r>
    </w:p>
    <w:p>
      <w:pPr>
        <w:spacing w:before="0" w:after="120" w:line="276" w:lineRule="auto"/>
      </w:pPr>
      <w:r>
        <w:rPr>
          <w:rFonts w:ascii="Calibri" w:hAnsi="Calibri"/>
          <w:color w:val="222222"/>
          <w:sz w:val="21"/>
        </w:rPr>
        <w:t>2. TCP (Transmission Control Protocol) operates at the transport layer and requires a 3-way handshake. Measuring TCP connection establishment captures not only path propagation latency, but also the destination server's operating system backlog queue, SYN cookie processing, and transport socket state.</w:t>
      </w:r>
    </w:p>
    <w:p>
      <w:pPr>
        <w:spacing w:before="160" w:after="40"/>
        <w:jc w:val="center"/>
      </w:pPr>
      <w:r>
        <w:drawing>
          <wp:inline xmlns:a="http://schemas.openxmlformats.org/drawingml/2006/main" xmlns:pic="http://schemas.openxmlformats.org/drawingml/2006/picture">
            <wp:extent cx="5669280" cy="3173687"/>
            <wp:docPr id="3" name="Picture 3"/>
            <wp:cNvGraphicFramePr>
              <a:graphicFrameLocks noChangeAspect="1"/>
            </wp:cNvGraphicFramePr>
            <a:graphic>
              <a:graphicData uri="http://schemas.openxmlformats.org/drawingml/2006/picture">
                <pic:pic>
                  <pic:nvPicPr>
                    <pic:cNvPr id="0" name="diagram3_protocol_flow.png"/>
                    <pic:cNvPicPr/>
                  </pic:nvPicPr>
                  <pic:blipFill>
                    <a:blip r:embed="rId13"/>
                    <a:stretch>
                      <a:fillRect/>
                    </a:stretch>
                  </pic:blipFill>
                  <pic:spPr>
                    <a:xfrm>
                      <a:off x="0" y="0"/>
                      <a:ext cx="5669280" cy="3173687"/>
                    </a:xfrm>
                    <a:prstGeom prst="rect"/>
                  </pic:spPr>
                </pic:pic>
              </a:graphicData>
            </a:graphic>
          </wp:inline>
        </w:drawing>
      </w:r>
    </w:p>
    <w:p>
      <w:pPr>
        <w:spacing w:before="0" w:after="200"/>
        <w:jc w:val="center"/>
      </w:pPr>
      <w:r>
        <w:rPr>
          <w:rFonts w:ascii="Calibri" w:hAnsi="Calibri"/>
          <w:b/>
          <w:i/>
          <w:color w:val="64748B"/>
          <w:sz w:val="18"/>
        </w:rPr>
        <w:t>Figure 3: Sequence Flow and Timing Comparison between ICMP Echo (Layer 3) and TCP 3-Way Handshake (Layer 4).</w:t>
      </w:r>
    </w:p>
    <w:p>
      <w:pPr>
        <w:keepNext/>
        <w:spacing w:before="240" w:after="80"/>
      </w:pPr>
      <w:r>
        <w:rPr>
          <w:rFonts w:ascii="Calibri" w:hAnsi="Calibri"/>
          <w:b/>
          <w:color w:val="2E6B9E"/>
          <w:sz w:val="24"/>
        </w:rPr>
        <w:t>2.3 Technology Stack and Implementation Rationale</w:t>
      </w:r>
    </w:p>
    <w:p>
      <w:pPr>
        <w:spacing w:before="0" w:after="120" w:line="276" w:lineRule="auto"/>
      </w:pPr>
      <w:r>
        <w:rPr>
          <w:rFonts w:ascii="Calibri" w:hAnsi="Calibri"/>
          <w:color w:val="222222"/>
          <w:sz w:val="21"/>
        </w:rPr>
        <w:t>The technologies powering NetTelemetry were selected specifically for their ability to interface directly with low-level networking primitives without external proprietary dependencies:</w:t>
      </w:r>
    </w:p>
    <w:p>
      <w:pPr>
        <w:pStyle w:val="ListBullet"/>
        <w:spacing w:before="0" w:after="60" w:line="276" w:lineRule="auto"/>
      </w:pPr>
      <w:r>
        <w:rPr>
          <w:rFonts w:ascii="Calibri" w:hAnsi="Calibri"/>
          <w:b/>
          <w:color w:val="1B365D"/>
          <w:sz w:val="20"/>
        </w:rPr>
        <w:t xml:space="preserve">Python 3 Standard Library: </w:t>
      </w:r>
      <w:r>
        <w:rPr>
          <w:rFonts w:ascii="Calibri" w:hAnsi="Calibri"/>
          <w:color w:val="222222"/>
          <w:sz w:val="20"/>
        </w:rPr>
        <w:t>Provides high-performance socket libraries (`socket.AF_INET`, `SOCK_STREAM`, `SOCK_DGRAM`) and native system access.</w:t>
      </w:r>
    </w:p>
    <w:p>
      <w:pPr>
        <w:pStyle w:val="ListBullet"/>
        <w:spacing w:before="0" w:after="60" w:line="276" w:lineRule="auto"/>
      </w:pPr>
      <w:r>
        <w:rPr>
          <w:rFonts w:ascii="Calibri" w:hAnsi="Calibri"/>
          <w:b/>
          <w:color w:val="1B365D"/>
          <w:sz w:val="20"/>
        </w:rPr>
        <w:t xml:space="preserve">Native Win32 IPHLPAPI via Python ctypes: </w:t>
      </w:r>
      <w:r>
        <w:rPr>
          <w:rFonts w:ascii="Calibri" w:hAnsi="Calibri"/>
          <w:color w:val="222222"/>
          <w:sz w:val="20"/>
        </w:rPr>
        <w:t>On Windows, opening a raw ICMP socket (`SOCK_RAW`) typically requires elevated Administrator privileges. NetTelemetry overcomes this limitation by binding directly to the Windows IP Helper API (`iphlpapi.dll`) using `ctypes`. This grants direct access to the kernel's `IcmpCreateFile`, `IcmpSendEcho`, and `IcmpCloseHandle` functions, enabling precise ICMP probing with standard user privileges.</w:t>
      </w:r>
    </w:p>
    <w:p>
      <w:pPr>
        <w:pStyle w:val="ListBullet"/>
        <w:spacing w:before="0" w:after="60" w:line="276" w:lineRule="auto"/>
      </w:pPr>
      <w:r>
        <w:rPr>
          <w:rFonts w:ascii="Calibri" w:hAnsi="Calibri"/>
          <w:b/>
          <w:color w:val="1B365D"/>
          <w:sz w:val="20"/>
        </w:rPr>
        <w:t xml:space="preserve">Multi-Threaded Concurrent Probing (ThreadPoolExecutor): </w:t>
      </w:r>
      <w:r>
        <w:rPr>
          <w:rFonts w:ascii="Calibri" w:hAnsi="Calibri"/>
          <w:color w:val="222222"/>
          <w:sz w:val="20"/>
        </w:rPr>
        <w:t>Network probes to multiple targets are executed concurrently across worker threads, preventing a slow or timing-out host from blocking probes to other responsive targets.</w:t>
      </w:r>
    </w:p>
    <w:p>
      <w:pPr>
        <w:pStyle w:val="ListBullet"/>
        <w:spacing w:before="0" w:after="60" w:line="276" w:lineRule="auto"/>
      </w:pPr>
      <w:r>
        <w:rPr>
          <w:rFonts w:ascii="Calibri" w:hAnsi="Calibri"/>
          <w:b/>
          <w:color w:val="1B365D"/>
          <w:sz w:val="20"/>
        </w:rPr>
        <w:t xml:space="preserve">Relational Persistence (SQLite3): </w:t>
      </w:r>
      <w:r>
        <w:rPr>
          <w:rFonts w:ascii="Calibri" w:hAnsi="Calibri"/>
          <w:color w:val="222222"/>
          <w:sz w:val="20"/>
        </w:rPr>
        <w:t>Stores time-series network measurements, rolling window statistics, and anomaly incident logs in a structured schema supporting atomic transactions.</w:t>
      </w:r>
    </w:p>
    <w:p>
      <w:pPr>
        <w:pStyle w:val="ListBullet"/>
        <w:spacing w:before="0" w:after="60" w:line="276" w:lineRule="auto"/>
      </w:pPr>
      <w:r>
        <w:rPr>
          <w:rFonts w:ascii="Calibri" w:hAnsi="Calibri"/>
          <w:b/>
          <w:color w:val="1B365D"/>
          <w:sz w:val="20"/>
        </w:rPr>
        <w:t xml:space="preserve">Streamlit &amp; Plotly Visualization Engine: </w:t>
      </w:r>
      <w:r>
        <w:rPr>
          <w:rFonts w:ascii="Calibri" w:hAnsi="Calibri"/>
          <w:color w:val="222222"/>
          <w:sz w:val="20"/>
        </w:rPr>
        <w:t>Renders a high-contrast, responsive Network Operations Center dashboard with interactive time-series charts, status tiles, and visual anomaly alarms.</w:t>
      </w:r>
    </w:p>
    <w:p>
      <w:pPr>
        <w:keepNext/>
        <w:spacing w:before="360" w:after="120"/>
      </w:pPr>
      <w:r>
        <w:rPr>
          <w:rFonts w:ascii="Calibri" w:hAnsi="Calibri"/>
          <w:b/>
          <w:color w:val="1B365D"/>
          <w:sz w:val="29"/>
        </w:rPr>
        <w:t>3. Implementation and Functionalities (Working Model, Configuration, Coding (Network Part) and Execution Results)</w:t>
      </w:r>
    </w:p>
    <w:p>
      <w:pPr>
        <w:keepNext/>
        <w:spacing w:before="240" w:after="80"/>
      </w:pPr>
      <w:r>
        <w:rPr>
          <w:rFonts w:ascii="Calibri" w:hAnsi="Calibri"/>
          <w:b/>
          <w:color w:val="2E6B9E"/>
          <w:sz w:val="24"/>
        </w:rPr>
        <w:t>3.1 Working Model &amp; System Workflow</w:t>
      </w:r>
    </w:p>
    <w:p>
      <w:pPr>
        <w:spacing w:before="0" w:after="120" w:line="276" w:lineRule="auto"/>
      </w:pPr>
      <w:r>
        <w:rPr>
          <w:rFonts w:ascii="Calibri" w:hAnsi="Calibri"/>
          <w:color w:val="222222"/>
          <w:sz w:val="21"/>
        </w:rPr>
        <w:t>The operational lifecycle of NetTelemetry follows a systematic 6-stage telemetry pipeline:</w:t>
      </w:r>
    </w:p>
    <w:p>
      <w:pPr>
        <w:spacing w:before="0" w:after="120" w:line="276" w:lineRule="auto"/>
      </w:pPr>
      <w:r>
        <w:rPr>
          <w:rFonts w:ascii="Calibri" w:hAnsi="Calibri"/>
          <w:color w:val="222222"/>
          <w:sz w:val="21"/>
        </w:rPr>
        <w:t>1. Configuration Ingestion: The system reads target endpoints from `config.json`, including target names, IP addresses/hostnames, probe intervals, timeouts, and optional transport ports.</w:t>
      </w:r>
    </w:p>
    <w:p>
      <w:pPr>
        <w:spacing w:before="0" w:after="120" w:line="276" w:lineRule="auto"/>
      </w:pPr>
      <w:r>
        <w:rPr>
          <w:rFonts w:ascii="Calibri" w:hAnsi="Calibri"/>
          <w:color w:val="222222"/>
          <w:sz w:val="21"/>
        </w:rPr>
        <w:t>2. Name Resolution &amp; Verification: For targets defined by hostname, the system executes DNS lookups via `socket.gethostbyname()`, caching the resolved 32-bit IPv4 address.</w:t>
      </w:r>
    </w:p>
    <w:p>
      <w:pPr>
        <w:spacing w:before="0" w:after="120" w:line="276" w:lineRule="auto"/>
      </w:pPr>
      <w:r>
        <w:rPr>
          <w:rFonts w:ascii="Calibri" w:hAnsi="Calibri"/>
          <w:color w:val="222222"/>
          <w:sz w:val="21"/>
        </w:rPr>
        <w:t>3. Concurrent Probe Dispatch: The runner dispatches asynchronous ICMP, TCP, or UDP probes. Each probe measures start time, waits for the reply or timeout, and captures the round-trip latency and header metadata.</w:t>
      </w:r>
    </w:p>
    <w:p>
      <w:pPr>
        <w:spacing w:before="0" w:after="120" w:line="276" w:lineRule="auto"/>
      </w:pPr>
      <w:r>
        <w:rPr>
          <w:rFonts w:ascii="Calibri" w:hAnsi="Calibri"/>
          <w:color w:val="222222"/>
          <w:sz w:val="21"/>
        </w:rPr>
        <w:t>4. Sliding-Window Metric Calculation: Raw observations are funneled into a rolling window buffer. The metric engine calculates loss percentage, link availability, jitter, and P95/P99 latency percentiles.</w:t>
      </w:r>
    </w:p>
    <w:p>
      <w:pPr>
        <w:spacing w:before="0" w:after="120" w:line="276" w:lineRule="auto"/>
      </w:pPr>
      <w:r>
        <w:rPr>
          <w:rFonts w:ascii="Calibri" w:hAnsi="Calibri"/>
          <w:color w:val="222222"/>
          <w:sz w:val="21"/>
        </w:rPr>
        <w:t>5. Statistical Anomaly Detection: The anomaly engine compares current window metrics against established thresholds and historical baselines, generating structured alert events if anomalies occur.</w:t>
      </w:r>
    </w:p>
    <w:p>
      <w:pPr>
        <w:spacing w:before="0" w:after="120" w:line="276" w:lineRule="auto"/>
      </w:pPr>
      <w:r>
        <w:rPr>
          <w:rFonts w:ascii="Calibri" w:hAnsi="Calibri"/>
          <w:color w:val="222222"/>
          <w:sz w:val="21"/>
        </w:rPr>
        <w:t>6. Storage &amp; Dashboard Presentation: The measurement and anomaly records are committed to `telemetry.db`, and the Streamlit dashboard automatically re-renders the live charts and metric indicators.</w:t>
      </w:r>
    </w:p>
    <w:p>
      <w:pPr>
        <w:spacing w:before="160" w:after="40"/>
        <w:jc w:val="center"/>
      </w:pPr>
      <w:r>
        <w:drawing>
          <wp:inline xmlns:a="http://schemas.openxmlformats.org/drawingml/2006/main" xmlns:pic="http://schemas.openxmlformats.org/drawingml/2006/picture">
            <wp:extent cx="5669280" cy="3325251"/>
            <wp:docPr id="4" name="Picture 4"/>
            <wp:cNvGraphicFramePr>
              <a:graphicFrameLocks noChangeAspect="1"/>
            </wp:cNvGraphicFramePr>
            <a:graphic>
              <a:graphicData uri="http://schemas.openxmlformats.org/drawingml/2006/picture">
                <pic:pic>
                  <pic:nvPicPr>
                    <pic:cNvPr id="0" name="diagram4_telemetry_pipeline.png"/>
                    <pic:cNvPicPr/>
                  </pic:nvPicPr>
                  <pic:blipFill>
                    <a:blip r:embed="rId14"/>
                    <a:stretch>
                      <a:fillRect/>
                    </a:stretch>
                  </pic:blipFill>
                  <pic:spPr>
                    <a:xfrm>
                      <a:off x="0" y="0"/>
                      <a:ext cx="5669280" cy="3325251"/>
                    </a:xfrm>
                    <a:prstGeom prst="rect"/>
                  </pic:spPr>
                </pic:pic>
              </a:graphicData>
            </a:graphic>
          </wp:inline>
        </w:drawing>
      </w:r>
    </w:p>
    <w:p>
      <w:pPr>
        <w:spacing w:before="0" w:after="200"/>
        <w:jc w:val="center"/>
      </w:pPr>
      <w:r>
        <w:rPr>
          <w:rFonts w:ascii="Calibri" w:hAnsi="Calibri"/>
          <w:b/>
          <w:i/>
          <w:color w:val="64748B"/>
          <w:sz w:val="18"/>
        </w:rPr>
        <w:t>Figure 4: Continuous Telemetry Lifecycle, Sliding-Window Metric Computation, and Anomaly Detection Pipeline.</w:t>
      </w:r>
    </w:p>
    <w:p>
      <w:pPr>
        <w:keepNext/>
        <w:spacing w:before="240" w:after="80"/>
      </w:pPr>
      <w:r>
        <w:rPr>
          <w:rFonts w:ascii="Calibri" w:hAnsi="Calibri"/>
          <w:b/>
          <w:color w:val="2E6B9E"/>
          <w:sz w:val="24"/>
        </w:rPr>
        <w:t>3.2 Configuration Architecture (`config.json`)</w:t>
      </w:r>
    </w:p>
    <w:p>
      <w:pPr>
        <w:spacing w:before="0" w:after="120" w:line="276" w:lineRule="auto"/>
      </w:pPr>
      <w:r>
        <w:rPr>
          <w:rFonts w:ascii="Calibri" w:hAnsi="Calibri"/>
          <w:color w:val="222222"/>
          <w:sz w:val="21"/>
        </w:rPr>
        <w:t>The monitoring target pool is defined in a structured JSON configuration file (`config.json`). This decoupling allows network administrators to add, disable, or modify targets without modifying application code:</w:t>
      </w:r>
    </w:p>
    <w:p>
      <w:pPr>
        <w:keepNext/>
        <w:spacing w:before="120" w:after="40"/>
      </w:pPr>
      <w:r>
        <w:rPr>
          <w:rFonts w:ascii="Calibri" w:hAnsi="Calibri"/>
          <w:b/>
          <w:color w:val="2E6B9E"/>
          <w:sz w:val="19"/>
        </w:rPr>
        <w:t>Listing: config.json Target Configuration File</w:t>
      </w:r>
    </w:p>
    <w:tbl>
      <w:tblPr>
        <w:tblW w:type="auto" w:w="0"/>
        <w:jc w:val="center"/>
        <w:tblLook w:firstColumn="1" w:firstRow="1" w:lastColumn="0" w:lastRow="0" w:noHBand="0" w:noVBand="1" w:val="04A0"/>
      </w:tblPr>
      <w:tblGrid>
        <w:gridCol w:w="9360"/>
      </w:tblGrid>
      <w:tr>
        <w:tc>
          <w:tcPr>
            <w:tcW w:type="dxa" w:w="9360"/>
            <w:shd w:fill="F8FAFC"/>
            <w:tcMar>
              <w:top w:w="110" w:type="dxa"/>
              <w:bottom w:w="110" w:type="dxa"/>
              <w:left w:w="160" w:type="dxa"/>
              <w:right w:w="160" w:type="dxa"/>
            </w:tcMar>
            <w:tcBorders>
              <w:top w:val="single" w:sz="4" w:space="0" w:color="E2E8F0"/>
              <w:left w:val="single" w:sz="18" w:space="0" w:color="2E6B9E"/>
              <w:bottom w:val="single" w:sz="4" w:space="0" w:color="E2E8F0"/>
              <w:right w:val="single" w:sz="4" w:space="0" w:color="E2E8F0"/>
            </w:tcBorders>
          </w:tcPr>
          <w:p>
            <w:pPr>
              <w:spacing w:before="0" w:after="0" w:line="252" w:lineRule="auto"/>
            </w:pPr>
            <w:r>
              <w:rPr>
                <w:rFonts w:ascii="Consolas" w:hAnsi="Consolas"/>
                <w:color w:val="1E293B"/>
                <w:sz w:val="17"/>
              </w:rPr>
              <w:t>{</w:t>
              <w:br/>
              <w:t xml:space="preserve">    "targets": [</w:t>
              <w:br/>
              <w:t xml:space="preserve">        { "target_id": "google",     "name": "Google DNS",  "host": "8.8.8.8",        "enabled": true,  "interval": 5, "timeout": 2 },</w:t>
              <w:br/>
              <w:t xml:space="preserve">        { "target_id": "cloudflare", "name": "Cloudflare",  "host": "1.1.1.1",        "enabled": true,  "interval": 5, "timeout": 2 },</w:t>
              <w:br/>
              <w:t xml:space="preserve">        { "target_id": "github",     "name": "GitHub",      "host": "140.82.121.3",   "enabled": true,  "interval": 5, "timeout": 2 },</w:t>
              <w:br/>
              <w:t xml:space="preserve">        { "target_id": "microsoft",  "name": "Microsoft",   "host": "20.190.164.4",   "enabled": true,  "interval": 5, "timeout": 2 },</w:t>
              <w:br/>
              <w:t xml:space="preserve">        { "target_id": "amazon",     "name": "Amazon AWS",  "host": "52.94.126.1",    "enabled": true,  "interval": 5, "timeout": 2 }</w:t>
              <w:br/>
              <w:t xml:space="preserve">    ]</w:t>
              <w:br/>
              <w:t>}</w:t>
            </w:r>
          </w:p>
        </w:tc>
      </w:tr>
    </w:tbl>
    <w:p>
      <w:pPr>
        <w:spacing w:after="120"/>
      </w:pPr>
    </w:p>
    <w:p>
      <w:pPr>
        <w:keepNext/>
        <w:spacing w:before="240" w:after="80"/>
      </w:pPr>
      <w:r>
        <w:rPr>
          <w:rFonts w:ascii="Calibri" w:hAnsi="Calibri"/>
          <w:b/>
          <w:color w:val="2E6B9E"/>
          <w:sz w:val="24"/>
        </w:rPr>
        <w:t>3.3 Network Coding Implementation Walkthrough</w:t>
      </w:r>
    </w:p>
    <w:p>
      <w:pPr>
        <w:spacing w:before="0" w:after="120" w:line="276" w:lineRule="auto"/>
      </w:pPr>
      <w:r>
        <w:rPr>
          <w:rFonts w:ascii="Calibri" w:hAnsi="Calibri"/>
          <w:color w:val="222222"/>
          <w:sz w:val="21"/>
        </w:rPr>
        <w:t>The core networking functionality of NetTelemetry is modularized into dedicated Python modules located within the `network/`, `telemetry/`, and `analytics/` directories. Below are the key implementations:</w:t>
      </w:r>
    </w:p>
    <w:p>
      <w:pPr>
        <w:keepNext/>
        <w:spacing w:before="160" w:after="40"/>
      </w:pPr>
      <w:r>
        <w:rPr>
          <w:rFonts w:ascii="Calibri" w:hAnsi="Calibri"/>
          <w:b/>
          <w:color w:val="008080"/>
          <w:sz w:val="21"/>
        </w:rPr>
        <w:t>3.3.1 Network Layer: Native Win32 ICMP Echo Implementation (`network/icmp_monitor.py`)</w:t>
      </w:r>
    </w:p>
    <w:p>
      <w:pPr>
        <w:spacing w:before="0" w:after="120" w:line="276" w:lineRule="auto"/>
      </w:pPr>
      <w:r>
        <w:rPr>
          <w:rFonts w:ascii="Calibri" w:hAnsi="Calibri"/>
          <w:color w:val="222222"/>
          <w:sz w:val="21"/>
        </w:rPr>
        <w:t>To achieve native ICMP Echo communication without third-party binaries or root permissions, NetTelemetry interfaces with the Windows IP Helper DLL (`iphlpapi.dll`) using `ctypes` structures:</w:t>
      </w:r>
    </w:p>
    <w:p>
      <w:pPr>
        <w:keepNext/>
        <w:spacing w:before="120" w:after="40"/>
      </w:pPr>
      <w:r>
        <w:rPr>
          <w:rFonts w:ascii="Calibri" w:hAnsi="Calibri"/>
          <w:b/>
          <w:color w:val="2E6B9E"/>
          <w:sz w:val="19"/>
        </w:rPr>
        <w:t>Listing: Native ICMP Echo Probing via Windows IcmpSendEcho</w:t>
      </w:r>
    </w:p>
    <w:tbl>
      <w:tblPr>
        <w:tblW w:type="auto" w:w="0"/>
        <w:jc w:val="center"/>
        <w:tblLook w:firstColumn="1" w:firstRow="1" w:lastColumn="0" w:lastRow="0" w:noHBand="0" w:noVBand="1" w:val="04A0"/>
      </w:tblPr>
      <w:tblGrid>
        <w:gridCol w:w="9360"/>
      </w:tblGrid>
      <w:tr>
        <w:tc>
          <w:tcPr>
            <w:tcW w:type="dxa" w:w="9360"/>
            <w:shd w:fill="F8FAFC"/>
            <w:tcMar>
              <w:top w:w="110" w:type="dxa"/>
              <w:bottom w:w="110" w:type="dxa"/>
              <w:left w:w="160" w:type="dxa"/>
              <w:right w:w="160" w:type="dxa"/>
            </w:tcMar>
            <w:tcBorders>
              <w:top w:val="single" w:sz="4" w:space="0" w:color="E2E8F0"/>
              <w:left w:val="single" w:sz="18" w:space="0" w:color="2E6B9E"/>
              <w:bottom w:val="single" w:sz="4" w:space="0" w:color="E2E8F0"/>
              <w:right w:val="single" w:sz="4" w:space="0" w:color="E2E8F0"/>
            </w:tcBorders>
          </w:tcPr>
          <w:p>
            <w:pPr>
              <w:spacing w:before="0" w:after="0" w:line="252" w:lineRule="auto"/>
            </w:pPr>
            <w:r>
              <w:rPr>
                <w:rFonts w:ascii="Consolas" w:hAnsi="Consolas"/>
                <w:color w:val="1E293B"/>
                <w:sz w:val="17"/>
              </w:rPr>
              <w:t># Mapping Windows C-structures for ICMP Header and Reply</w:t>
              <w:br/>
              <w:t>class IP_OPTION_INFORMATION(ctypes.Structure):</w:t>
              <w:br/>
              <w:t xml:space="preserve">    _fields_ = [</w:t>
              <w:br/>
              <w:t xml:space="preserve">        ("Ttl", ctypes.c_ubyte),         # Time-To-Live in IPv4 Header</w:t>
              <w:br/>
              <w:t xml:space="preserve">        ("Tos", ctypes.c_ubyte),         # Type of Service</w:t>
              <w:br/>
              <w:t xml:space="preserve">        ("Flags", ctypes.c_ubyte),       # IP Flags (e.g. Don't Fragment)</w:t>
              <w:br/>
              <w:t xml:space="preserve">        ("OptionsSize", ctypes.c_ubyte),</w:t>
              <w:br/>
              <w:t xml:space="preserve">        ("OptionsData", ctypes.c_void_p)</w:t>
              <w:br/>
              <w:t xml:space="preserve">    ]</w:t>
              <w:br/>
              <w:br/>
              <w:t>class ICMP_ECHO_REPLY(ctypes.Structure):</w:t>
              <w:br/>
              <w:t xml:space="preserve">    _fields_ = [</w:t>
              <w:br/>
              <w:t xml:space="preserve">        ("Address", ctypes.c_ulong),       # Responding IP Address</w:t>
              <w:br/>
              <w:t xml:space="preserve">        ("Status", ctypes.c_ulong),        # 0 = IP_SUCCESS, 11010 = IP_REQ_TIMED_OUT</w:t>
              <w:br/>
              <w:t xml:space="preserve">        ("RoundTripTime", ctypes.c_ulong), # RTT in Milliseconds</w:t>
              <w:br/>
              <w:t xml:space="preserve">        ("DataSize", ctypes.c_ushort),     # Payload Size in Bytes</w:t>
              <w:br/>
              <w:t xml:space="preserve">        ("Reserved", ctypes.c_ushort),</w:t>
              <w:br/>
              <w:t xml:space="preserve">        ("Data", ctypes.c_void_p),</w:t>
              <w:br/>
              <w:t xml:space="preserve">        ("Options", IP_OPTION_INFORMATION) # Contains observed TTL</w:t>
              <w:br/>
              <w:t xml:space="preserve">    ]</w:t>
              <w:br/>
              <w:br/>
              <w:t>def ping(ip_address: str, timeout_ms: int = 1000, payload: bytes = b"NetTelemetry"):</w:t>
              <w:br/>
              <w:t xml:space="preserve">    handle = IcmpCreateFile()</w:t>
              <w:br/>
              <w:t xml:space="preserve">    dest_addr = ip_to_dword(ip_address)</w:t>
              <w:br/>
              <w:t xml:space="preserve">    reply_buffer = ctypes.create_string_buffer(ctypes.sizeof(ICMP_ECHO_REPLY) + len(payload) + 8)</w:t>
              <w:br/>
              <w:t xml:space="preserve">    </w:t>
              <w:br/>
              <w:t xml:space="preserve">    replies = IcmpSendEcho(handle, dest_addr, payload, len(payload), None, reply_buffer, len(reply_buffer), timeout_ms)</w:t>
              <w:br/>
              <w:t xml:space="preserve">    if replies &gt; 0:</w:t>
              <w:br/>
              <w:t xml:space="preserve">        reply = ICMP_ECHO_REPLY.from_buffer(reply_buffer)</w:t>
              <w:br/>
              <w:t xml:space="preserve">        if reply.Status == 0: # IP_SUCCESS</w:t>
              <w:br/>
              <w:t xml:space="preserve">            return {"success": True, "rtt_ms": float(reply.RoundTripTime), "ttl": int(reply.Options.Ttl)}</w:t>
              <w:br/>
              <w:t xml:space="preserve">    return {"success": False, "rtt_ms": None, "ttl": None, "error": "timeout"}</w:t>
            </w:r>
          </w:p>
        </w:tc>
      </w:tr>
    </w:tbl>
    <w:p>
      <w:pPr>
        <w:spacing w:after="120"/>
      </w:pPr>
    </w:p>
    <w:p>
      <w:pPr>
        <w:keepNext/>
        <w:spacing w:before="160" w:after="40"/>
      </w:pPr>
      <w:r>
        <w:rPr>
          <w:rFonts w:ascii="Calibri" w:hAnsi="Calibri"/>
          <w:b/>
          <w:color w:val="008080"/>
          <w:sz w:val="21"/>
        </w:rPr>
        <w:t>3.3.2 Transport Layer: TCP Connection Latency (`network/tcp_monitor.py`)</w:t>
      </w:r>
    </w:p>
    <w:p>
      <w:pPr>
        <w:spacing w:before="0" w:after="120" w:line="276" w:lineRule="auto"/>
      </w:pPr>
      <w:r>
        <w:rPr>
          <w:rFonts w:ascii="Calibri" w:hAnsi="Calibri"/>
          <w:color w:val="222222"/>
          <w:sz w:val="21"/>
        </w:rPr>
        <w:t>The TCP monitoring module evaluates transport-layer connectivity by initiating a standard 3-way handshake to a specific target port and measuring the exact connect time:</w:t>
      </w:r>
    </w:p>
    <w:p>
      <w:pPr>
        <w:keepNext/>
        <w:spacing w:before="120" w:after="40"/>
      </w:pPr>
      <w:r>
        <w:rPr>
          <w:rFonts w:ascii="Calibri" w:hAnsi="Calibri"/>
          <w:b/>
          <w:color w:val="2E6B9E"/>
          <w:sz w:val="19"/>
        </w:rPr>
        <w:t>Listing: TCP Socket Handshake Connection Timing</w:t>
      </w:r>
    </w:p>
    <w:tbl>
      <w:tblPr>
        <w:tblW w:type="auto" w:w="0"/>
        <w:jc w:val="center"/>
        <w:tblLook w:firstColumn="1" w:firstRow="1" w:lastColumn="0" w:lastRow="0" w:noHBand="0" w:noVBand="1" w:val="04A0"/>
      </w:tblPr>
      <w:tblGrid>
        <w:gridCol w:w="9360"/>
      </w:tblGrid>
      <w:tr>
        <w:tc>
          <w:tcPr>
            <w:tcW w:type="dxa" w:w="9360"/>
            <w:shd w:fill="F8FAFC"/>
            <w:tcMar>
              <w:top w:w="110" w:type="dxa"/>
              <w:bottom w:w="110" w:type="dxa"/>
              <w:left w:w="160" w:type="dxa"/>
              <w:right w:w="160" w:type="dxa"/>
            </w:tcMar>
            <w:tcBorders>
              <w:top w:val="single" w:sz="4" w:space="0" w:color="E2E8F0"/>
              <w:left w:val="single" w:sz="18" w:space="0" w:color="2E6B9E"/>
              <w:bottom w:val="single" w:sz="4" w:space="0" w:color="E2E8F0"/>
              <w:right w:val="single" w:sz="4" w:space="0" w:color="E2E8F0"/>
            </w:tcBorders>
          </w:tcPr>
          <w:p>
            <w:pPr>
              <w:spacing w:before="0" w:after="0" w:line="252" w:lineRule="auto"/>
            </w:pPr>
            <w:r>
              <w:rPr>
                <w:rFonts w:ascii="Consolas" w:hAnsi="Consolas"/>
                <w:color w:val="1E293B"/>
                <w:sz w:val="17"/>
              </w:rPr>
              <w:t>def measure_tcp_connect(host: str, port: int, timeout: int = 5) -&gt; Dict[str, Any]:</w:t>
              <w:br/>
              <w:t xml:space="preserve">    start_time = time.time()</w:t>
              <w:br/>
              <w:t xml:space="preserve">    try:</w:t>
              <w:br/>
              <w:t xml:space="preserve">        with socket.socket(socket.AF_INET, socket.SOCK_STREAM) as sock:</w:t>
              <w:br/>
              <w:t xml:space="preserve">            sock.settimeout(timeout)</w:t>
              <w:br/>
              <w:t xml:space="preserve">            sock.connect((host, port)) # Initiates TCP 3-Way Handshake</w:t>
              <w:br/>
              <w:t xml:space="preserve">        rtt_ms = (time.time() - start_time) * 1000.0</w:t>
              <w:br/>
              <w:t xml:space="preserve">        return {"success": True, "rtt_ms": round(rtt_ms, 2), "error": None}</w:t>
              <w:br/>
              <w:t xml:space="preserve">    except socket.timeout:</w:t>
              <w:br/>
              <w:t xml:space="preserve">        return {"success": False, "rtt_ms": None, "error": "timeout"}</w:t>
              <w:br/>
              <w:t xml:space="preserve">    except Exception as e:</w:t>
              <w:br/>
              <w:t xml:space="preserve">        return {"success": False, "rtt_ms": None, "error": str(e)}</w:t>
            </w:r>
          </w:p>
        </w:tc>
      </w:tr>
    </w:tbl>
    <w:p>
      <w:pPr>
        <w:spacing w:after="120"/>
      </w:pPr>
    </w:p>
    <w:p>
      <w:pPr>
        <w:keepNext/>
        <w:spacing w:before="160" w:after="40"/>
      </w:pPr>
      <w:r>
        <w:rPr>
          <w:rFonts w:ascii="Calibri" w:hAnsi="Calibri"/>
          <w:b/>
          <w:color w:val="008080"/>
          <w:sz w:val="21"/>
        </w:rPr>
        <w:t>3.3.3 Telemetry Metrics &amp; Mathematical Formulas (`telemetry/metrics.py`)</w:t>
      </w:r>
    </w:p>
    <w:p>
      <w:pPr>
        <w:spacing w:before="0" w:after="120" w:line="276" w:lineRule="auto"/>
      </w:pPr>
      <w:r>
        <w:rPr>
          <w:rFonts w:ascii="Calibri" w:hAnsi="Calibri"/>
          <w:color w:val="222222"/>
          <w:sz w:val="21"/>
        </w:rPr>
        <w:t>The metrics module computes network quality indicators over sliding windows of measurement observations:</w:t>
      </w:r>
    </w:p>
    <w:p>
      <w:pPr>
        <w:pStyle w:val="ListBullet"/>
        <w:spacing w:before="0" w:after="60" w:line="276" w:lineRule="auto"/>
      </w:pPr>
      <w:r>
        <w:rPr>
          <w:rFonts w:ascii="Calibri" w:hAnsi="Calibri"/>
          <w:b/>
          <w:color w:val="1B365D"/>
          <w:sz w:val="20"/>
        </w:rPr>
        <w:t xml:space="preserve">Round-Trip Time (RTT): </w:t>
      </w:r>
      <w:r>
        <w:rPr>
          <w:rFonts w:ascii="Calibri" w:hAnsi="Calibri"/>
          <w:color w:val="222222"/>
          <w:sz w:val="20"/>
        </w:rPr>
        <w:t>The time elapsed between probe transmission and reply arrival: RTT = t_reply - t_send (ms).</w:t>
      </w:r>
    </w:p>
    <w:p>
      <w:pPr>
        <w:pStyle w:val="ListBullet"/>
        <w:spacing w:before="0" w:after="60" w:line="276" w:lineRule="auto"/>
      </w:pPr>
      <w:r>
        <w:rPr>
          <w:rFonts w:ascii="Calibri" w:hAnsi="Calibri"/>
          <w:b/>
          <w:color w:val="1B365D"/>
          <w:sz w:val="20"/>
        </w:rPr>
        <w:t xml:space="preserve">Packet Loss Percentage (%): </w:t>
      </w:r>
      <w:r>
        <w:rPr>
          <w:rFonts w:ascii="Calibri" w:hAnsi="Calibri"/>
          <w:color w:val="222222"/>
          <w:sz w:val="20"/>
        </w:rPr>
        <w:t>Ratio of timed-out or dropped probes to total probes: Loss % = (Failed Probes / Total Probes) * 100.</w:t>
      </w:r>
    </w:p>
    <w:p>
      <w:pPr>
        <w:pStyle w:val="ListBullet"/>
        <w:spacing w:before="0" w:after="60" w:line="276" w:lineRule="auto"/>
      </w:pPr>
      <w:r>
        <w:rPr>
          <w:rFonts w:ascii="Calibri" w:hAnsi="Calibri"/>
          <w:b/>
          <w:color w:val="1B365D"/>
          <w:sz w:val="20"/>
        </w:rPr>
        <w:t xml:space="preserve">Network Availability (%): </w:t>
      </w:r>
      <w:r>
        <w:rPr>
          <w:rFonts w:ascii="Calibri" w:hAnsi="Calibri"/>
          <w:color w:val="222222"/>
          <w:sz w:val="20"/>
        </w:rPr>
        <w:t>Ratio of successful probe acknowledgments: Availability % = (Successful Probes / Total Probes) * 100.</w:t>
      </w:r>
    </w:p>
    <w:p>
      <w:pPr>
        <w:pStyle w:val="ListBullet"/>
        <w:spacing w:before="0" w:after="60" w:line="276" w:lineRule="auto"/>
      </w:pPr>
      <w:r>
        <w:rPr>
          <w:rFonts w:ascii="Calibri" w:hAnsi="Calibri"/>
          <w:b/>
          <w:color w:val="1B365D"/>
          <w:sz w:val="20"/>
        </w:rPr>
        <w:t xml:space="preserve">Inter-Packet Delay Variation (Jitter): </w:t>
      </w:r>
      <w:r>
        <w:rPr>
          <w:rFonts w:ascii="Calibri" w:hAnsi="Calibri"/>
          <w:color w:val="222222"/>
          <w:sz w:val="20"/>
        </w:rPr>
        <w:t>The mean absolute difference between successive RTT observations: Jitter = (1 / (N - 1)) * Sum(|RTT_i - RTT_{i-1}|).</w:t>
      </w:r>
    </w:p>
    <w:p>
      <w:pPr>
        <w:pStyle w:val="ListBullet"/>
        <w:spacing w:before="0" w:after="60" w:line="276" w:lineRule="auto"/>
      </w:pPr>
      <w:r>
        <w:rPr>
          <w:rFonts w:ascii="Calibri" w:hAnsi="Calibri"/>
          <w:b/>
          <w:color w:val="1B365D"/>
          <w:sz w:val="20"/>
        </w:rPr>
        <w:t xml:space="preserve">P95 / P99 Tail Latency: </w:t>
      </w:r>
      <w:r>
        <w:rPr>
          <w:rFonts w:ascii="Calibri" w:hAnsi="Calibri"/>
          <w:color w:val="222222"/>
          <w:sz w:val="20"/>
        </w:rPr>
        <w:t>The 95th and 99th percentiles of sorted RTT values, characterizing worst-case latency experienced by packets.</w:t>
      </w:r>
    </w:p>
    <w:p>
      <w:pPr>
        <w:keepNext/>
        <w:spacing w:before="160" w:after="40"/>
      </w:pPr>
      <w:r>
        <w:rPr>
          <w:rFonts w:ascii="Calibri" w:hAnsi="Calibri"/>
          <w:b/>
          <w:color w:val="008080"/>
          <w:sz w:val="21"/>
        </w:rPr>
        <w:t>3.3.4 Statistical Anomaly Detection Engine (`analytics/anomaly_detector.py`)</w:t>
      </w:r>
    </w:p>
    <w:p>
      <w:pPr>
        <w:spacing w:before="0" w:after="120" w:line="276" w:lineRule="auto"/>
      </w:pPr>
      <w:r>
        <w:rPr>
          <w:rFonts w:ascii="Calibri" w:hAnsi="Calibri"/>
          <w:color w:val="222222"/>
          <w:sz w:val="21"/>
        </w:rPr>
        <w:t>The anomaly detector applies multi-criteria statistical thresholds to identify severe network health deviations:</w:t>
      </w:r>
    </w:p>
    <w:p>
      <w:pPr>
        <w:pStyle w:val="ListBullet"/>
        <w:spacing w:before="0" w:after="60" w:line="276" w:lineRule="auto"/>
      </w:pPr>
      <w:r>
        <w:rPr>
          <w:rFonts w:ascii="Calibri" w:hAnsi="Calibri"/>
          <w:b/>
          <w:color w:val="1B365D"/>
          <w:sz w:val="20"/>
        </w:rPr>
        <w:t xml:space="preserve">Packet Loss Anomaly: </w:t>
      </w:r>
      <w:r>
        <w:rPr>
          <w:rFonts w:ascii="Calibri" w:hAnsi="Calibri"/>
          <w:color w:val="222222"/>
          <w:sz w:val="20"/>
        </w:rPr>
        <w:t>Triggered when rolling packet loss exceeds 5.0%. Indicates link drops, congestion, or firewall filtering.</w:t>
      </w:r>
    </w:p>
    <w:p>
      <w:pPr>
        <w:pStyle w:val="ListBullet"/>
        <w:spacing w:before="0" w:after="60" w:line="276" w:lineRule="auto"/>
      </w:pPr>
      <w:r>
        <w:rPr>
          <w:rFonts w:ascii="Calibri" w:hAnsi="Calibri"/>
          <w:b/>
          <w:color w:val="1B365D"/>
          <w:sz w:val="20"/>
        </w:rPr>
        <w:t xml:space="preserve">Latency Spike Anomaly: </w:t>
      </w:r>
      <w:r>
        <w:rPr>
          <w:rFonts w:ascii="Calibri" w:hAnsi="Calibri"/>
          <w:color w:val="222222"/>
          <w:sz w:val="20"/>
        </w:rPr>
        <w:t>Triggered when P95 latency exceeds 100.0 ms. Indicates bufferbloat or routing detour.</w:t>
      </w:r>
    </w:p>
    <w:p>
      <w:pPr>
        <w:pStyle w:val="ListBullet"/>
        <w:spacing w:before="0" w:after="60" w:line="276" w:lineRule="auto"/>
      </w:pPr>
      <w:r>
        <w:rPr>
          <w:rFonts w:ascii="Calibri" w:hAnsi="Calibri"/>
          <w:b/>
          <w:color w:val="1B365D"/>
          <w:sz w:val="20"/>
        </w:rPr>
        <w:t xml:space="preserve">Unstable Delay (Jitter) Anomaly: </w:t>
      </w:r>
      <w:r>
        <w:rPr>
          <w:rFonts w:ascii="Calibri" w:hAnsi="Calibri"/>
          <w:color w:val="222222"/>
          <w:sz w:val="20"/>
        </w:rPr>
        <w:t>Triggered when jitter exceeds 20.0 ms. Indicates queuing instability.</w:t>
      </w:r>
    </w:p>
    <w:p>
      <w:pPr>
        <w:keepNext/>
        <w:spacing w:before="240" w:after="80"/>
      </w:pPr>
      <w:r>
        <w:rPr>
          <w:rFonts w:ascii="Calibri" w:hAnsi="Calibri"/>
          <w:b/>
          <w:color w:val="2E6B9E"/>
          <w:sz w:val="24"/>
        </w:rPr>
        <w:t>3.4 Execution Results &amp; Empirical Dataset</w:t>
      </w:r>
    </w:p>
    <w:p>
      <w:pPr>
        <w:spacing w:before="0" w:after="120" w:line="276" w:lineRule="auto"/>
      </w:pPr>
      <w:r>
        <w:rPr>
          <w:rFonts w:ascii="Calibri" w:hAnsi="Calibri"/>
          <w:color w:val="222222"/>
          <w:sz w:val="21"/>
        </w:rPr>
        <w:t>NetTelemetry was deployed and executed in a live network environment across multiple local, intranet, and public WAN targets. Below is an extract of actual empirical telemetry recorded in the project's SQLite database (`telemetry.db`):</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560"/>
        <w:gridCol w:w="1560"/>
        <w:gridCol w:w="1560"/>
        <w:gridCol w:w="1560"/>
        <w:gridCol w:w="1560"/>
        <w:gridCol w:w="1560"/>
      </w:tblGrid>
      <w:tr>
        <w:tc>
          <w:tcPr>
            <w:tcW w:type="dxa" w:w="1728"/>
            <w:shd w:fill="1B365D"/>
            <w:tcMar>
              <w:top w:w="150" w:type="dxa"/>
              <w:bottom w:w="150" w:type="dxa"/>
              <w:left w:w="160" w:type="dxa"/>
              <w:right w:w="160" w:type="dxa"/>
            </w:tcMar>
          </w:tcPr>
          <w:p>
            <w:pPr>
              <w:spacing w:before="0" w:after="0"/>
              <w:jc w:val="left"/>
            </w:pPr>
            <w:r>
              <w:rPr>
                <w:rFonts w:ascii="Calibri" w:hAnsi="Calibri"/>
                <w:b/>
                <w:color w:val="FFFFFF"/>
                <w:sz w:val="19"/>
              </w:rPr>
              <w:t>Target ID</w:t>
            </w:r>
          </w:p>
        </w:tc>
        <w:tc>
          <w:tcPr>
            <w:tcW w:type="dxa" w:w="1440"/>
            <w:shd w:fill="1B365D"/>
            <w:tcMar>
              <w:top w:w="150" w:type="dxa"/>
              <w:bottom w:w="150" w:type="dxa"/>
              <w:left w:w="160" w:type="dxa"/>
              <w:right w:w="160" w:type="dxa"/>
            </w:tcMar>
          </w:tcPr>
          <w:p>
            <w:pPr>
              <w:spacing w:before="0" w:after="0"/>
              <w:jc w:val="center"/>
            </w:pPr>
            <w:r>
              <w:rPr>
                <w:rFonts w:ascii="Calibri" w:hAnsi="Calibri"/>
                <w:b/>
                <w:color w:val="FFFFFF"/>
                <w:sz w:val="19"/>
              </w:rPr>
              <w:t>Protocol</w:t>
            </w:r>
          </w:p>
        </w:tc>
        <w:tc>
          <w:tcPr>
            <w:tcW w:type="dxa" w:w="1440"/>
            <w:shd w:fill="1B365D"/>
            <w:tcMar>
              <w:top w:w="150" w:type="dxa"/>
              <w:bottom w:w="150" w:type="dxa"/>
              <w:left w:w="160" w:type="dxa"/>
              <w:right w:w="160" w:type="dxa"/>
            </w:tcMar>
          </w:tcPr>
          <w:p>
            <w:pPr>
              <w:spacing w:before="0" w:after="0"/>
              <w:jc w:val="center"/>
            </w:pPr>
            <w:r>
              <w:rPr>
                <w:rFonts w:ascii="Calibri" w:hAnsi="Calibri"/>
                <w:b/>
                <w:color w:val="FFFFFF"/>
                <w:sz w:val="19"/>
              </w:rPr>
              <w:t>Status</w:t>
            </w:r>
          </w:p>
        </w:tc>
        <w:tc>
          <w:tcPr>
            <w:tcW w:type="dxa" w:w="1584"/>
            <w:shd w:fill="1B365D"/>
            <w:tcMar>
              <w:top w:w="150" w:type="dxa"/>
              <w:bottom w:w="150" w:type="dxa"/>
              <w:left w:w="160" w:type="dxa"/>
              <w:right w:w="160" w:type="dxa"/>
            </w:tcMar>
          </w:tcPr>
          <w:p>
            <w:pPr>
              <w:spacing w:before="0" w:after="0"/>
              <w:jc w:val="center"/>
            </w:pPr>
            <w:r>
              <w:rPr>
                <w:rFonts w:ascii="Calibri" w:hAnsi="Calibri"/>
                <w:b/>
                <w:color w:val="FFFFFF"/>
                <w:sz w:val="19"/>
              </w:rPr>
              <w:t>RTT (ms)</w:t>
            </w:r>
          </w:p>
        </w:tc>
        <w:tc>
          <w:tcPr>
            <w:tcW w:type="dxa" w:w="1152"/>
            <w:shd w:fill="1B365D"/>
            <w:tcMar>
              <w:top w:w="150" w:type="dxa"/>
              <w:bottom w:w="150" w:type="dxa"/>
              <w:left w:w="160" w:type="dxa"/>
              <w:right w:w="160" w:type="dxa"/>
            </w:tcMar>
          </w:tcPr>
          <w:p>
            <w:pPr>
              <w:spacing w:before="0" w:after="0"/>
              <w:jc w:val="center"/>
            </w:pPr>
            <w:r>
              <w:rPr>
                <w:rFonts w:ascii="Calibri" w:hAnsi="Calibri"/>
                <w:b/>
                <w:color w:val="FFFFFF"/>
                <w:sz w:val="19"/>
              </w:rPr>
              <w:t>TTL</w:t>
            </w:r>
          </w:p>
        </w:tc>
        <w:tc>
          <w:tcPr>
            <w:tcW w:type="dxa" w:w="2448"/>
            <w:shd w:fill="1B365D"/>
            <w:tcMar>
              <w:top w:w="150" w:type="dxa"/>
              <w:bottom w:w="150" w:type="dxa"/>
              <w:left w:w="160" w:type="dxa"/>
              <w:right w:w="160" w:type="dxa"/>
            </w:tcMar>
          </w:tcPr>
          <w:p>
            <w:pPr>
              <w:spacing w:before="0" w:after="0"/>
              <w:jc w:val="center"/>
            </w:pPr>
            <w:r>
              <w:rPr>
                <w:rFonts w:ascii="Calibri" w:hAnsi="Calibri"/>
                <w:b/>
                <w:color w:val="FFFFFF"/>
                <w:sz w:val="19"/>
              </w:rPr>
              <w:t>Timestamp (UTC)</w:t>
            </w:r>
          </w:p>
        </w:tc>
      </w:tr>
      <w:tr>
        <w:tc>
          <w:tcPr>
            <w:tcW w:type="dxa" w:w="1728"/>
            <w:shd w:fill="FFFFFF"/>
            <w:tcMar>
              <w:top w:w="120" w:type="dxa"/>
              <w:bottom w:w="120" w:type="dxa"/>
              <w:left w:w="150" w:type="dxa"/>
              <w:right w:w="150" w:type="dxa"/>
            </w:tcMar>
          </w:tcPr>
          <w:p>
            <w:pPr>
              <w:spacing w:before="0" w:after="0" w:line="252" w:lineRule="auto"/>
              <w:jc w:val="left"/>
            </w:pPr>
            <w:r>
              <w:rPr>
                <w:rFonts w:ascii="Calibri" w:hAnsi="Calibri"/>
                <w:b/>
                <w:color w:val="222222"/>
                <w:sz w:val="18"/>
              </w:rPr>
              <w:t>Microsoft</w:t>
            </w:r>
          </w:p>
        </w:tc>
        <w:tc>
          <w:tcPr>
            <w:tcW w:type="dxa" w:w="1440"/>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ICMP</w:t>
            </w:r>
          </w:p>
        </w:tc>
        <w:tc>
          <w:tcPr>
            <w:tcW w:type="dxa" w:w="1440"/>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SUCCESS</w:t>
            </w:r>
          </w:p>
        </w:tc>
        <w:tc>
          <w:tcPr>
            <w:tcW w:type="dxa" w:w="1584"/>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37.37</w:t>
            </w:r>
          </w:p>
        </w:tc>
        <w:tc>
          <w:tcPr>
            <w:tcW w:type="dxa" w:w="115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112</w:t>
            </w:r>
          </w:p>
        </w:tc>
        <w:tc>
          <w:tcPr>
            <w:tcW w:type="dxa" w:w="2448"/>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2026-10-13 15:16:50</w:t>
            </w:r>
          </w:p>
        </w:tc>
      </w:tr>
      <w:tr>
        <w:tc>
          <w:tcPr>
            <w:tcW w:type="dxa" w:w="1728"/>
            <w:shd w:fill="F8FAFC"/>
            <w:tcMar>
              <w:top w:w="120" w:type="dxa"/>
              <w:bottom w:w="120" w:type="dxa"/>
              <w:left w:w="150" w:type="dxa"/>
              <w:right w:w="150" w:type="dxa"/>
            </w:tcMar>
          </w:tcPr>
          <w:p>
            <w:pPr>
              <w:spacing w:before="0" w:after="0" w:line="252" w:lineRule="auto"/>
              <w:jc w:val="left"/>
            </w:pPr>
            <w:r>
              <w:rPr>
                <w:rFonts w:ascii="Calibri" w:hAnsi="Calibri"/>
                <w:b/>
                <w:color w:val="222222"/>
                <w:sz w:val="18"/>
              </w:rPr>
              <w:t>Amazon</w:t>
            </w:r>
          </w:p>
        </w:tc>
        <w:tc>
          <w:tcPr>
            <w:tcW w:type="dxa" w:w="1440"/>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ICMP</w:t>
            </w:r>
          </w:p>
        </w:tc>
        <w:tc>
          <w:tcPr>
            <w:tcW w:type="dxa" w:w="1440"/>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TIMEOUT / DROP</w:t>
            </w:r>
          </w:p>
        </w:tc>
        <w:tc>
          <w:tcPr>
            <w:tcW w:type="dxa" w:w="1584"/>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N/A</w:t>
            </w:r>
          </w:p>
        </w:tc>
        <w:tc>
          <w:tcPr>
            <w:tcW w:type="dxa" w:w="115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48</w:t>
            </w:r>
          </w:p>
        </w:tc>
        <w:tc>
          <w:tcPr>
            <w:tcW w:type="dxa" w:w="2448"/>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2026-10-13 15:16:50</w:t>
            </w:r>
          </w:p>
        </w:tc>
      </w:tr>
      <w:tr>
        <w:tc>
          <w:tcPr>
            <w:tcW w:type="dxa" w:w="1728"/>
            <w:shd w:fill="FFFFFF"/>
            <w:tcMar>
              <w:top w:w="120" w:type="dxa"/>
              <w:bottom w:w="120" w:type="dxa"/>
              <w:left w:w="150" w:type="dxa"/>
              <w:right w:w="150" w:type="dxa"/>
            </w:tcMar>
          </w:tcPr>
          <w:p>
            <w:pPr>
              <w:spacing w:before="0" w:after="0" w:line="252" w:lineRule="auto"/>
              <w:jc w:val="left"/>
            </w:pPr>
            <w:r>
              <w:rPr>
                <w:rFonts w:ascii="Calibri" w:hAnsi="Calibri"/>
                <w:b/>
                <w:color w:val="222222"/>
                <w:sz w:val="18"/>
              </w:rPr>
              <w:t>Github</w:t>
            </w:r>
          </w:p>
        </w:tc>
        <w:tc>
          <w:tcPr>
            <w:tcW w:type="dxa" w:w="1440"/>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ICMP</w:t>
            </w:r>
          </w:p>
        </w:tc>
        <w:tc>
          <w:tcPr>
            <w:tcW w:type="dxa" w:w="1440"/>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SUCCESS</w:t>
            </w:r>
          </w:p>
        </w:tc>
        <w:tc>
          <w:tcPr>
            <w:tcW w:type="dxa" w:w="1584"/>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43.15</w:t>
            </w:r>
          </w:p>
        </w:tc>
        <w:tc>
          <w:tcPr>
            <w:tcW w:type="dxa" w:w="115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54</w:t>
            </w:r>
          </w:p>
        </w:tc>
        <w:tc>
          <w:tcPr>
            <w:tcW w:type="dxa" w:w="2448"/>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2026-10-13 15:16:50</w:t>
            </w:r>
          </w:p>
        </w:tc>
      </w:tr>
      <w:tr>
        <w:tc>
          <w:tcPr>
            <w:tcW w:type="dxa" w:w="1728"/>
            <w:shd w:fill="F8FAFC"/>
            <w:tcMar>
              <w:top w:w="120" w:type="dxa"/>
              <w:bottom w:w="120" w:type="dxa"/>
              <w:left w:w="150" w:type="dxa"/>
              <w:right w:w="150" w:type="dxa"/>
            </w:tcMar>
          </w:tcPr>
          <w:p>
            <w:pPr>
              <w:spacing w:before="0" w:after="0" w:line="252" w:lineRule="auto"/>
              <w:jc w:val="left"/>
            </w:pPr>
            <w:r>
              <w:rPr>
                <w:rFonts w:ascii="Calibri" w:hAnsi="Calibri"/>
                <w:b/>
                <w:color w:val="222222"/>
                <w:sz w:val="18"/>
              </w:rPr>
              <w:t>Cloudflare</w:t>
            </w:r>
          </w:p>
        </w:tc>
        <w:tc>
          <w:tcPr>
            <w:tcW w:type="dxa" w:w="1440"/>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ICMP</w:t>
            </w:r>
          </w:p>
        </w:tc>
        <w:tc>
          <w:tcPr>
            <w:tcW w:type="dxa" w:w="1440"/>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SUCCESS</w:t>
            </w:r>
          </w:p>
        </w:tc>
        <w:tc>
          <w:tcPr>
            <w:tcW w:type="dxa" w:w="1584"/>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26.89</w:t>
            </w:r>
          </w:p>
        </w:tc>
        <w:tc>
          <w:tcPr>
            <w:tcW w:type="dxa" w:w="115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58</w:t>
            </w:r>
          </w:p>
        </w:tc>
        <w:tc>
          <w:tcPr>
            <w:tcW w:type="dxa" w:w="2448"/>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2026-10-13 15:16:50</w:t>
            </w:r>
          </w:p>
        </w:tc>
      </w:tr>
      <w:tr>
        <w:tc>
          <w:tcPr>
            <w:tcW w:type="dxa" w:w="1728"/>
            <w:shd w:fill="FFFFFF"/>
            <w:tcMar>
              <w:top w:w="120" w:type="dxa"/>
              <w:bottom w:w="120" w:type="dxa"/>
              <w:left w:w="150" w:type="dxa"/>
              <w:right w:w="150" w:type="dxa"/>
            </w:tcMar>
          </w:tcPr>
          <w:p>
            <w:pPr>
              <w:spacing w:before="0" w:after="0" w:line="252" w:lineRule="auto"/>
              <w:jc w:val="left"/>
            </w:pPr>
            <w:r>
              <w:rPr>
                <w:rFonts w:ascii="Calibri" w:hAnsi="Calibri"/>
                <w:b/>
                <w:color w:val="222222"/>
                <w:sz w:val="18"/>
              </w:rPr>
              <w:t>Google</w:t>
            </w:r>
          </w:p>
        </w:tc>
        <w:tc>
          <w:tcPr>
            <w:tcW w:type="dxa" w:w="1440"/>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ICMP</w:t>
            </w:r>
          </w:p>
        </w:tc>
        <w:tc>
          <w:tcPr>
            <w:tcW w:type="dxa" w:w="1440"/>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SUCCESS</w:t>
            </w:r>
          </w:p>
        </w:tc>
        <w:tc>
          <w:tcPr>
            <w:tcW w:type="dxa" w:w="1584"/>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24.96</w:t>
            </w:r>
          </w:p>
        </w:tc>
        <w:tc>
          <w:tcPr>
            <w:tcW w:type="dxa" w:w="115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118</w:t>
            </w:r>
          </w:p>
        </w:tc>
        <w:tc>
          <w:tcPr>
            <w:tcW w:type="dxa" w:w="2448"/>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2026-10-13 15:16:50</w:t>
            </w:r>
          </w:p>
        </w:tc>
      </w:tr>
      <w:tr>
        <w:tc>
          <w:tcPr>
            <w:tcW w:type="dxa" w:w="1728"/>
            <w:shd w:fill="F8FAFC"/>
            <w:tcMar>
              <w:top w:w="120" w:type="dxa"/>
              <w:bottom w:w="120" w:type="dxa"/>
              <w:left w:w="150" w:type="dxa"/>
              <w:right w:w="150" w:type="dxa"/>
            </w:tcMar>
          </w:tcPr>
          <w:p>
            <w:pPr>
              <w:spacing w:before="0" w:after="0" w:line="252" w:lineRule="auto"/>
              <w:jc w:val="left"/>
            </w:pPr>
            <w:r>
              <w:rPr>
                <w:rFonts w:ascii="Calibri" w:hAnsi="Calibri"/>
                <w:b/>
                <w:color w:val="222222"/>
                <w:sz w:val="18"/>
              </w:rPr>
              <w:t>Microsoft</w:t>
            </w:r>
          </w:p>
        </w:tc>
        <w:tc>
          <w:tcPr>
            <w:tcW w:type="dxa" w:w="1440"/>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ICMP</w:t>
            </w:r>
          </w:p>
        </w:tc>
        <w:tc>
          <w:tcPr>
            <w:tcW w:type="dxa" w:w="1440"/>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SUCCESS</w:t>
            </w:r>
          </w:p>
        </w:tc>
        <w:tc>
          <w:tcPr>
            <w:tcW w:type="dxa" w:w="1584"/>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35.04</w:t>
            </w:r>
          </w:p>
        </w:tc>
        <w:tc>
          <w:tcPr>
            <w:tcW w:type="dxa" w:w="115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112</w:t>
            </w:r>
          </w:p>
        </w:tc>
        <w:tc>
          <w:tcPr>
            <w:tcW w:type="dxa" w:w="2448"/>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2026-10-13 15:15:50</w:t>
            </w:r>
          </w:p>
        </w:tc>
      </w:tr>
    </w:tbl>
    <w:p>
      <w:pPr>
        <w:spacing w:after="160"/>
      </w:pPr>
    </w:p>
    <w:p>
      <w:pPr>
        <w:spacing w:before="160" w:after="40"/>
        <w:jc w:val="center"/>
      </w:pPr>
      <w:r>
        <w:drawing>
          <wp:inline xmlns:a="http://schemas.openxmlformats.org/drawingml/2006/main" xmlns:pic="http://schemas.openxmlformats.org/drawingml/2006/picture">
            <wp:extent cx="5669280" cy="2443565"/>
            <wp:docPr id="5" name="Picture 5"/>
            <wp:cNvGraphicFramePr>
              <a:graphicFrameLocks noChangeAspect="1"/>
            </wp:cNvGraphicFramePr>
            <a:graphic>
              <a:graphicData uri="http://schemas.openxmlformats.org/drawingml/2006/picture">
                <pic:pic>
                  <pic:nvPicPr>
                    <pic:cNvPr id="0" name="diagram5_performance_benchmark.png"/>
                    <pic:cNvPicPr/>
                  </pic:nvPicPr>
                  <pic:blipFill>
                    <a:blip r:embed="rId15"/>
                    <a:stretch>
                      <a:fillRect/>
                    </a:stretch>
                  </pic:blipFill>
                  <pic:spPr>
                    <a:xfrm>
                      <a:off x="0" y="0"/>
                      <a:ext cx="5669280" cy="2443565"/>
                    </a:xfrm>
                    <a:prstGeom prst="rect"/>
                  </pic:spPr>
                </pic:pic>
              </a:graphicData>
            </a:graphic>
          </wp:inline>
        </w:drawing>
      </w:r>
    </w:p>
    <w:p>
      <w:pPr>
        <w:spacing w:before="0" w:after="200"/>
        <w:jc w:val="center"/>
      </w:pPr>
      <w:r>
        <w:rPr>
          <w:rFonts w:ascii="Calibri" w:hAnsi="Calibri"/>
          <w:b/>
          <w:i/>
          <w:color w:val="64748B"/>
          <w:sz w:val="18"/>
        </w:rPr>
        <w:t>Figure 5: Measured RTT Latency and Observed TTL Comparison Extracted from Empirical Database Records.</w:t>
      </w:r>
    </w:p>
    <w:p>
      <w:pPr>
        <w:keepNext/>
        <w:spacing w:before="360" w:after="120"/>
      </w:pPr>
      <w:r>
        <w:rPr>
          <w:rFonts w:ascii="Calibri" w:hAnsi="Calibri"/>
          <w:b/>
          <w:color w:val="1B365D"/>
          <w:sz w:val="29"/>
        </w:rPr>
        <w:t>4. Testing and Performance Analysis (Testcases, Connectivity and Performance Evaluation)</w:t>
      </w:r>
    </w:p>
    <w:p>
      <w:pPr>
        <w:keepNext/>
        <w:spacing w:before="240" w:after="80"/>
      </w:pPr>
      <w:r>
        <w:rPr>
          <w:rFonts w:ascii="Calibri" w:hAnsi="Calibri"/>
          <w:b/>
          <w:color w:val="2E6B9E"/>
          <w:sz w:val="24"/>
        </w:rPr>
        <w:t>4.1 Test Plan and Test Matrix</w:t>
      </w:r>
    </w:p>
    <w:p>
      <w:pPr>
        <w:spacing w:before="0" w:after="120" w:line="276" w:lineRule="auto"/>
      </w:pPr>
      <w:r>
        <w:rPr>
          <w:rFonts w:ascii="Calibri" w:hAnsi="Calibri"/>
          <w:color w:val="222222"/>
          <w:sz w:val="21"/>
        </w:rPr>
        <w:t>A comprehensive testing methodology was designed to validate system correctness across normal, degraded, and partitioned network states. All 37 automated unit and integration tests executed cleanly with 100% success rate: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872"/>
        <w:gridCol w:w="1872"/>
        <w:gridCol w:w="1872"/>
        <w:gridCol w:w="1872"/>
      </w:tblGrid>
      <w:tr>
        <w:tc>
          <w:tcPr>
            <w:tcW w:type="dxa" w:w="1296"/>
            <w:shd w:fill="1B365D"/>
            <w:tcMar>
              <w:top w:w="150" w:type="dxa"/>
              <w:bottom w:w="150" w:type="dxa"/>
              <w:left w:w="160" w:type="dxa"/>
              <w:right w:w="160" w:type="dxa"/>
            </w:tcMar>
          </w:tcPr>
          <w:p>
            <w:pPr>
              <w:spacing w:before="0" w:after="0"/>
              <w:jc w:val="center"/>
            </w:pPr>
            <w:r>
              <w:rPr>
                <w:rFonts w:ascii="Calibri" w:hAnsi="Calibri"/>
                <w:b/>
                <w:color w:val="FFFFFF"/>
                <w:sz w:val="19"/>
              </w:rPr>
              <w:t>Test ID</w:t>
            </w:r>
          </w:p>
        </w:tc>
        <w:tc>
          <w:tcPr>
            <w:tcW w:type="dxa" w:w="2304"/>
            <w:shd w:fill="1B365D"/>
            <w:tcMar>
              <w:top w:w="150" w:type="dxa"/>
              <w:bottom w:w="150" w:type="dxa"/>
              <w:left w:w="160" w:type="dxa"/>
              <w:right w:w="160" w:type="dxa"/>
            </w:tcMar>
          </w:tcPr>
          <w:p>
            <w:pPr>
              <w:spacing w:before="0" w:after="0"/>
              <w:jc w:val="left"/>
            </w:pPr>
            <w:r>
              <w:rPr>
                <w:rFonts w:ascii="Calibri" w:hAnsi="Calibri"/>
                <w:b/>
                <w:color w:val="FFFFFF"/>
                <w:sz w:val="19"/>
              </w:rPr>
              <w:t>Test Objective</w:t>
            </w:r>
          </w:p>
        </w:tc>
        <w:tc>
          <w:tcPr>
            <w:tcW w:type="dxa" w:w="2592"/>
            <w:shd w:fill="1B365D"/>
            <w:tcMar>
              <w:top w:w="150" w:type="dxa"/>
              <w:bottom w:w="150" w:type="dxa"/>
              <w:left w:w="160" w:type="dxa"/>
              <w:right w:w="160" w:type="dxa"/>
            </w:tcMar>
          </w:tcPr>
          <w:p>
            <w:pPr>
              <w:spacing w:before="0" w:after="0"/>
              <w:jc w:val="center"/>
            </w:pPr>
            <w:r>
              <w:rPr>
                <w:rFonts w:ascii="Calibri" w:hAnsi="Calibri"/>
                <w:b/>
                <w:color w:val="FFFFFF"/>
                <w:sz w:val="19"/>
              </w:rPr>
              <w:t>Input / Network Condition</w:t>
            </w:r>
          </w:p>
        </w:tc>
        <w:tc>
          <w:tcPr>
            <w:tcW w:type="dxa" w:w="2592"/>
            <w:shd w:fill="1B365D"/>
            <w:tcMar>
              <w:top w:w="150" w:type="dxa"/>
              <w:bottom w:w="150" w:type="dxa"/>
              <w:left w:w="160" w:type="dxa"/>
              <w:right w:w="160" w:type="dxa"/>
            </w:tcMar>
          </w:tcPr>
          <w:p>
            <w:pPr>
              <w:spacing w:before="0" w:after="0"/>
              <w:jc w:val="center"/>
            </w:pPr>
            <w:r>
              <w:rPr>
                <w:rFonts w:ascii="Calibri" w:hAnsi="Calibri"/>
                <w:b/>
                <w:color w:val="FFFFFF"/>
                <w:sz w:val="19"/>
              </w:rPr>
              <w:t>Expected Result</w:t>
            </w:r>
          </w:p>
        </w:tc>
        <w:tc>
          <w:tcPr>
            <w:tcW w:type="dxa" w:w="1152"/>
            <w:shd w:fill="1B365D"/>
            <w:tcMar>
              <w:top w:w="150" w:type="dxa"/>
              <w:bottom w:w="150" w:type="dxa"/>
              <w:left w:w="160" w:type="dxa"/>
              <w:right w:w="160" w:type="dxa"/>
            </w:tcMar>
          </w:tcPr>
          <w:p>
            <w:pPr>
              <w:spacing w:before="0" w:after="0"/>
              <w:jc w:val="center"/>
            </w:pPr>
            <w:r>
              <w:rPr>
                <w:rFonts w:ascii="Calibri" w:hAnsi="Calibri"/>
                <w:b/>
                <w:color w:val="FFFFFF"/>
                <w:sz w:val="19"/>
              </w:rPr>
              <w:t>Status</w:t>
            </w:r>
          </w:p>
        </w:tc>
      </w:tr>
      <w:tr>
        <w:tc>
          <w:tcPr>
            <w:tcW w:type="dxa" w:w="1296"/>
            <w:shd w:fill="FFFFFF"/>
            <w:tcMar>
              <w:top w:w="120" w:type="dxa"/>
              <w:bottom w:w="120" w:type="dxa"/>
              <w:left w:w="150" w:type="dxa"/>
              <w:right w:w="150" w:type="dxa"/>
            </w:tcMar>
          </w:tcPr>
          <w:p>
            <w:pPr>
              <w:spacing w:before="0" w:after="0" w:line="252" w:lineRule="auto"/>
              <w:jc w:val="center"/>
            </w:pPr>
            <w:r>
              <w:rPr>
                <w:rFonts w:ascii="Calibri" w:hAnsi="Calibri"/>
                <w:b/>
                <w:color w:val="222222"/>
                <w:sz w:val="18"/>
              </w:rPr>
              <w:t>TC-01</w:t>
            </w:r>
          </w:p>
        </w:tc>
        <w:tc>
          <w:tcPr>
            <w:tcW w:type="dxa" w:w="2304"/>
            <w:shd w:fill="FFFFFF"/>
            <w:tcMar>
              <w:top w:w="120" w:type="dxa"/>
              <w:bottom w:w="120" w:type="dxa"/>
              <w:left w:w="150" w:type="dxa"/>
              <w:right w:w="150" w:type="dxa"/>
            </w:tcMar>
          </w:tcPr>
          <w:p>
            <w:pPr>
              <w:spacing w:before="0" w:after="0" w:line="252" w:lineRule="auto"/>
              <w:jc w:val="left"/>
            </w:pPr>
            <w:r>
              <w:rPr>
                <w:rFonts w:ascii="Calibri" w:hAnsi="Calibri"/>
                <w:color w:val="222222"/>
                <w:sz w:val="18"/>
              </w:rPr>
              <w:t>ICMP Reachability &amp; RTT</w:t>
            </w:r>
          </w:p>
        </w:tc>
        <w:tc>
          <w:tcPr>
            <w:tcW w:type="dxa" w:w="259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Reachable target (8.8.8.8, 1.1.1.1)</w:t>
            </w:r>
          </w:p>
        </w:tc>
        <w:tc>
          <w:tcPr>
            <w:tcW w:type="dxa" w:w="259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Valid Echo Reply, RTT &gt; 0 ms, TTL captured</w:t>
            </w:r>
          </w:p>
        </w:tc>
        <w:tc>
          <w:tcPr>
            <w:tcW w:type="dxa" w:w="115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PASS</w:t>
            </w:r>
          </w:p>
        </w:tc>
      </w:tr>
      <w:tr>
        <w:tc>
          <w:tcPr>
            <w:tcW w:type="dxa" w:w="1296"/>
            <w:shd w:fill="F8FAFC"/>
            <w:tcMar>
              <w:top w:w="120" w:type="dxa"/>
              <w:bottom w:w="120" w:type="dxa"/>
              <w:left w:w="150" w:type="dxa"/>
              <w:right w:w="150" w:type="dxa"/>
            </w:tcMar>
          </w:tcPr>
          <w:p>
            <w:pPr>
              <w:spacing w:before="0" w:after="0" w:line="252" w:lineRule="auto"/>
              <w:jc w:val="center"/>
            </w:pPr>
            <w:r>
              <w:rPr>
                <w:rFonts w:ascii="Calibri" w:hAnsi="Calibri"/>
                <w:b/>
                <w:color w:val="222222"/>
                <w:sz w:val="18"/>
              </w:rPr>
              <w:t>TC-02</w:t>
            </w:r>
          </w:p>
        </w:tc>
        <w:tc>
          <w:tcPr>
            <w:tcW w:type="dxa" w:w="2304"/>
            <w:shd w:fill="F8FAFC"/>
            <w:tcMar>
              <w:top w:w="120" w:type="dxa"/>
              <w:bottom w:w="120" w:type="dxa"/>
              <w:left w:w="150" w:type="dxa"/>
              <w:right w:w="150" w:type="dxa"/>
            </w:tcMar>
          </w:tcPr>
          <w:p>
            <w:pPr>
              <w:spacing w:before="0" w:after="0" w:line="252" w:lineRule="auto"/>
              <w:jc w:val="left"/>
            </w:pPr>
            <w:r>
              <w:rPr>
                <w:rFonts w:ascii="Calibri" w:hAnsi="Calibri"/>
                <w:color w:val="222222"/>
                <w:sz w:val="18"/>
              </w:rPr>
              <w:t>Timeout &amp; Loss Handling</w:t>
            </w:r>
          </w:p>
        </w:tc>
        <w:tc>
          <w:tcPr>
            <w:tcW w:type="dxa" w:w="259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Inactive IP (10.255.255.1)</w:t>
            </w:r>
          </w:p>
        </w:tc>
        <w:tc>
          <w:tcPr>
            <w:tcW w:type="dxa" w:w="259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Probe timeout handled cleanly, loss recorded as failed</w:t>
            </w:r>
          </w:p>
        </w:tc>
        <w:tc>
          <w:tcPr>
            <w:tcW w:type="dxa" w:w="115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PASS</w:t>
            </w:r>
          </w:p>
        </w:tc>
      </w:tr>
      <w:tr>
        <w:tc>
          <w:tcPr>
            <w:tcW w:type="dxa" w:w="1296"/>
            <w:shd w:fill="FFFFFF"/>
            <w:tcMar>
              <w:top w:w="120" w:type="dxa"/>
              <w:bottom w:w="120" w:type="dxa"/>
              <w:left w:w="150" w:type="dxa"/>
              <w:right w:w="150" w:type="dxa"/>
            </w:tcMar>
          </w:tcPr>
          <w:p>
            <w:pPr>
              <w:spacing w:before="0" w:after="0" w:line="252" w:lineRule="auto"/>
              <w:jc w:val="center"/>
            </w:pPr>
            <w:r>
              <w:rPr>
                <w:rFonts w:ascii="Calibri" w:hAnsi="Calibri"/>
                <w:b/>
                <w:color w:val="222222"/>
                <w:sz w:val="18"/>
              </w:rPr>
              <w:t>TC-03</w:t>
            </w:r>
          </w:p>
        </w:tc>
        <w:tc>
          <w:tcPr>
            <w:tcW w:type="dxa" w:w="2304"/>
            <w:shd w:fill="FFFFFF"/>
            <w:tcMar>
              <w:top w:w="120" w:type="dxa"/>
              <w:bottom w:w="120" w:type="dxa"/>
              <w:left w:w="150" w:type="dxa"/>
              <w:right w:w="150" w:type="dxa"/>
            </w:tcMar>
          </w:tcPr>
          <w:p>
            <w:pPr>
              <w:spacing w:before="0" w:after="0" w:line="252" w:lineRule="auto"/>
              <w:jc w:val="left"/>
            </w:pPr>
            <w:r>
              <w:rPr>
                <w:rFonts w:ascii="Calibri" w:hAnsi="Calibri"/>
                <w:color w:val="222222"/>
                <w:sz w:val="18"/>
              </w:rPr>
              <w:t>TCP Port Reachability</w:t>
            </w:r>
          </w:p>
        </w:tc>
        <w:tc>
          <w:tcPr>
            <w:tcW w:type="dxa" w:w="259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Active TCP port (127.0.0.1:80/443)</w:t>
            </w:r>
          </w:p>
        </w:tc>
        <w:tc>
          <w:tcPr>
            <w:tcW w:type="dxa" w:w="259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Socket completes handshake, connect RTT recorded</w:t>
            </w:r>
          </w:p>
        </w:tc>
        <w:tc>
          <w:tcPr>
            <w:tcW w:type="dxa" w:w="115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PASS</w:t>
            </w:r>
          </w:p>
        </w:tc>
      </w:tr>
      <w:tr>
        <w:tc>
          <w:tcPr>
            <w:tcW w:type="dxa" w:w="1296"/>
            <w:shd w:fill="F8FAFC"/>
            <w:tcMar>
              <w:top w:w="120" w:type="dxa"/>
              <w:bottom w:w="120" w:type="dxa"/>
              <w:left w:w="150" w:type="dxa"/>
              <w:right w:w="150" w:type="dxa"/>
            </w:tcMar>
          </w:tcPr>
          <w:p>
            <w:pPr>
              <w:spacing w:before="0" w:after="0" w:line="252" w:lineRule="auto"/>
              <w:jc w:val="center"/>
            </w:pPr>
            <w:r>
              <w:rPr>
                <w:rFonts w:ascii="Calibri" w:hAnsi="Calibri"/>
                <w:b/>
                <w:color w:val="222222"/>
                <w:sz w:val="18"/>
              </w:rPr>
              <w:t>TC-04</w:t>
            </w:r>
          </w:p>
        </w:tc>
        <w:tc>
          <w:tcPr>
            <w:tcW w:type="dxa" w:w="2304"/>
            <w:shd w:fill="F8FAFC"/>
            <w:tcMar>
              <w:top w:w="120" w:type="dxa"/>
              <w:bottom w:w="120" w:type="dxa"/>
              <w:left w:w="150" w:type="dxa"/>
              <w:right w:w="150" w:type="dxa"/>
            </w:tcMar>
          </w:tcPr>
          <w:p>
            <w:pPr>
              <w:spacing w:before="0" w:after="0" w:line="252" w:lineRule="auto"/>
              <w:jc w:val="left"/>
            </w:pPr>
            <w:r>
              <w:rPr>
                <w:rFonts w:ascii="Calibri" w:hAnsi="Calibri"/>
                <w:color w:val="222222"/>
                <w:sz w:val="18"/>
              </w:rPr>
              <w:t>Closed TCP Port Handling</w:t>
            </w:r>
          </w:p>
        </w:tc>
        <w:tc>
          <w:tcPr>
            <w:tcW w:type="dxa" w:w="259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Closed TCP port (127.0.0.1:9999)</w:t>
            </w:r>
          </w:p>
        </w:tc>
        <w:tc>
          <w:tcPr>
            <w:tcW w:type="dxa" w:w="259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ConnectionRefusedError caught, success=False</w:t>
            </w:r>
          </w:p>
        </w:tc>
        <w:tc>
          <w:tcPr>
            <w:tcW w:type="dxa" w:w="115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PASS</w:t>
            </w:r>
          </w:p>
        </w:tc>
      </w:tr>
      <w:tr>
        <w:tc>
          <w:tcPr>
            <w:tcW w:type="dxa" w:w="1296"/>
            <w:shd w:fill="FFFFFF"/>
            <w:tcMar>
              <w:top w:w="120" w:type="dxa"/>
              <w:bottom w:w="120" w:type="dxa"/>
              <w:left w:w="150" w:type="dxa"/>
              <w:right w:w="150" w:type="dxa"/>
            </w:tcMar>
          </w:tcPr>
          <w:p>
            <w:pPr>
              <w:spacing w:before="0" w:after="0" w:line="252" w:lineRule="auto"/>
              <w:jc w:val="center"/>
            </w:pPr>
            <w:r>
              <w:rPr>
                <w:rFonts w:ascii="Calibri" w:hAnsi="Calibri"/>
                <w:b/>
                <w:color w:val="222222"/>
                <w:sz w:val="18"/>
              </w:rPr>
              <w:t>TC-05</w:t>
            </w:r>
          </w:p>
        </w:tc>
        <w:tc>
          <w:tcPr>
            <w:tcW w:type="dxa" w:w="2304"/>
            <w:shd w:fill="FFFFFF"/>
            <w:tcMar>
              <w:top w:w="120" w:type="dxa"/>
              <w:bottom w:w="120" w:type="dxa"/>
              <w:left w:w="150" w:type="dxa"/>
              <w:right w:w="150" w:type="dxa"/>
            </w:tcMar>
          </w:tcPr>
          <w:p>
            <w:pPr>
              <w:spacing w:before="0" w:after="0" w:line="252" w:lineRule="auto"/>
              <w:jc w:val="left"/>
            </w:pPr>
            <w:r>
              <w:rPr>
                <w:rFonts w:ascii="Calibri" w:hAnsi="Calibri"/>
                <w:color w:val="222222"/>
                <w:sz w:val="18"/>
              </w:rPr>
              <w:t>Jitter &amp; Availability Formula</w:t>
            </w:r>
          </w:p>
        </w:tc>
        <w:tc>
          <w:tcPr>
            <w:tcW w:type="dxa" w:w="259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Sequence: [20ms, 25ms, 15ms, 30ms]</w:t>
            </w:r>
          </w:p>
        </w:tc>
        <w:tc>
          <w:tcPr>
            <w:tcW w:type="dxa" w:w="259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Window metrics calculate jitter = 8.33 ms accurately</w:t>
            </w:r>
          </w:p>
        </w:tc>
        <w:tc>
          <w:tcPr>
            <w:tcW w:type="dxa" w:w="115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PASS</w:t>
            </w:r>
          </w:p>
        </w:tc>
      </w:tr>
      <w:tr>
        <w:tc>
          <w:tcPr>
            <w:tcW w:type="dxa" w:w="1296"/>
            <w:shd w:fill="F8FAFC"/>
            <w:tcMar>
              <w:top w:w="120" w:type="dxa"/>
              <w:bottom w:w="120" w:type="dxa"/>
              <w:left w:w="150" w:type="dxa"/>
              <w:right w:w="150" w:type="dxa"/>
            </w:tcMar>
          </w:tcPr>
          <w:p>
            <w:pPr>
              <w:spacing w:before="0" w:after="0" w:line="252" w:lineRule="auto"/>
              <w:jc w:val="center"/>
            </w:pPr>
            <w:r>
              <w:rPr>
                <w:rFonts w:ascii="Calibri" w:hAnsi="Calibri"/>
                <w:b/>
                <w:color w:val="222222"/>
                <w:sz w:val="18"/>
              </w:rPr>
              <w:t>TC-06</w:t>
            </w:r>
          </w:p>
        </w:tc>
        <w:tc>
          <w:tcPr>
            <w:tcW w:type="dxa" w:w="2304"/>
            <w:shd w:fill="F8FAFC"/>
            <w:tcMar>
              <w:top w:w="120" w:type="dxa"/>
              <w:bottom w:w="120" w:type="dxa"/>
              <w:left w:w="150" w:type="dxa"/>
              <w:right w:w="150" w:type="dxa"/>
            </w:tcMar>
          </w:tcPr>
          <w:p>
            <w:pPr>
              <w:spacing w:before="0" w:after="0" w:line="252" w:lineRule="auto"/>
              <w:jc w:val="left"/>
            </w:pPr>
            <w:r>
              <w:rPr>
                <w:rFonts w:ascii="Calibri" w:hAnsi="Calibri"/>
                <w:color w:val="222222"/>
                <w:sz w:val="18"/>
              </w:rPr>
              <w:t>Anomaly Engine Trigger</w:t>
            </w:r>
          </w:p>
        </w:tc>
        <w:tc>
          <w:tcPr>
            <w:tcW w:type="dxa" w:w="259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Simulated packet loss = 15.0%</w:t>
            </w:r>
          </w:p>
        </w:tc>
        <w:tc>
          <w:tcPr>
            <w:tcW w:type="dxa" w:w="259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Anomaly flag generated: 'High packet loss detected'</w:t>
            </w:r>
          </w:p>
        </w:tc>
        <w:tc>
          <w:tcPr>
            <w:tcW w:type="dxa" w:w="1152"/>
            <w:shd w:fill="F8FAFC"/>
            <w:tcMar>
              <w:top w:w="120" w:type="dxa"/>
              <w:bottom w:w="120" w:type="dxa"/>
              <w:left w:w="150" w:type="dxa"/>
              <w:right w:w="150" w:type="dxa"/>
            </w:tcMar>
          </w:tcPr>
          <w:p>
            <w:pPr>
              <w:spacing w:before="0" w:after="0" w:line="252" w:lineRule="auto"/>
              <w:jc w:val="center"/>
            </w:pPr>
            <w:r>
              <w:rPr>
                <w:rFonts w:ascii="Calibri" w:hAnsi="Calibri"/>
                <w:color w:val="222222"/>
                <w:sz w:val="18"/>
              </w:rPr>
              <w:t>PASS</w:t>
            </w:r>
          </w:p>
        </w:tc>
      </w:tr>
      <w:tr>
        <w:tc>
          <w:tcPr>
            <w:tcW w:type="dxa" w:w="1296"/>
            <w:shd w:fill="FFFFFF"/>
            <w:tcMar>
              <w:top w:w="120" w:type="dxa"/>
              <w:bottom w:w="120" w:type="dxa"/>
              <w:left w:w="150" w:type="dxa"/>
              <w:right w:w="150" w:type="dxa"/>
            </w:tcMar>
          </w:tcPr>
          <w:p>
            <w:pPr>
              <w:spacing w:before="0" w:after="0" w:line="252" w:lineRule="auto"/>
              <w:jc w:val="center"/>
            </w:pPr>
            <w:r>
              <w:rPr>
                <w:rFonts w:ascii="Calibri" w:hAnsi="Calibri"/>
                <w:b/>
                <w:color w:val="222222"/>
                <w:sz w:val="18"/>
              </w:rPr>
              <w:t>TC-07</w:t>
            </w:r>
          </w:p>
        </w:tc>
        <w:tc>
          <w:tcPr>
            <w:tcW w:type="dxa" w:w="2304"/>
            <w:shd w:fill="FFFFFF"/>
            <w:tcMar>
              <w:top w:w="120" w:type="dxa"/>
              <w:bottom w:w="120" w:type="dxa"/>
              <w:left w:w="150" w:type="dxa"/>
              <w:right w:w="150" w:type="dxa"/>
            </w:tcMar>
          </w:tcPr>
          <w:p>
            <w:pPr>
              <w:spacing w:before="0" w:after="0" w:line="252" w:lineRule="auto"/>
              <w:jc w:val="left"/>
            </w:pPr>
            <w:r>
              <w:rPr>
                <w:rFonts w:ascii="Calibri" w:hAnsi="Calibri"/>
                <w:color w:val="222222"/>
                <w:sz w:val="18"/>
              </w:rPr>
              <w:t>Concurrent Probing Under Load</w:t>
            </w:r>
          </w:p>
        </w:tc>
        <w:tc>
          <w:tcPr>
            <w:tcW w:type="dxa" w:w="259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5 targets probed simultaneously</w:t>
            </w:r>
          </w:p>
        </w:tc>
        <w:tc>
          <w:tcPr>
            <w:tcW w:type="dxa" w:w="259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ThreadPool completes all probes without race conditions</w:t>
            </w:r>
          </w:p>
        </w:tc>
        <w:tc>
          <w:tcPr>
            <w:tcW w:type="dxa" w:w="1152"/>
            <w:shd w:fill="FFFFFF"/>
            <w:tcMar>
              <w:top w:w="120" w:type="dxa"/>
              <w:bottom w:w="120" w:type="dxa"/>
              <w:left w:w="150" w:type="dxa"/>
              <w:right w:w="150" w:type="dxa"/>
            </w:tcMar>
          </w:tcPr>
          <w:p>
            <w:pPr>
              <w:spacing w:before="0" w:after="0" w:line="252" w:lineRule="auto"/>
              <w:jc w:val="center"/>
            </w:pPr>
            <w:r>
              <w:rPr>
                <w:rFonts w:ascii="Calibri" w:hAnsi="Calibri"/>
                <w:color w:val="222222"/>
                <w:sz w:val="18"/>
              </w:rPr>
              <w:t>PASS</w:t>
            </w:r>
          </w:p>
        </w:tc>
      </w:tr>
    </w:tbl>
    <w:p>
      <w:pPr>
        <w:spacing w:after="160"/>
      </w:pPr>
    </w:p>
    <w:p>
      <w:pPr>
        <w:keepNext/>
        <w:spacing w:before="240" w:after="80"/>
      </w:pPr>
      <w:r>
        <w:rPr>
          <w:rFonts w:ascii="Calibri" w:hAnsi="Calibri"/>
          <w:b/>
          <w:color w:val="2E6B9E"/>
          <w:sz w:val="24"/>
        </w:rPr>
        <w:t>4.2 Automated Test Suite Execution Summary</w:t>
      </w:r>
    </w:p>
    <w:p>
      <w:pPr>
        <w:spacing w:before="0" w:after="120" w:line="276" w:lineRule="auto"/>
      </w:pPr>
      <w:r>
        <w:rPr>
          <w:rFonts w:ascii="Calibri" w:hAnsi="Calibri"/>
          <w:color w:val="222222"/>
          <w:sz w:val="21"/>
        </w:rPr>
        <w:t>The test suite was executed using Python's standard `unittest` test runner across `tests/test_icmp.py`, `tests/test_metrics.py`, `tests/test_collector.py`, `tests/test_runner.py`, and `tests/test_member2.py`:</w:t>
      </w:r>
    </w:p>
    <w:p>
      <w:pPr>
        <w:keepNext/>
        <w:spacing w:before="120" w:after="40"/>
      </w:pPr>
      <w:r>
        <w:rPr>
          <w:rFonts w:ascii="Calibri" w:hAnsi="Calibri"/>
          <w:b/>
          <w:color w:val="2E6B9E"/>
          <w:sz w:val="19"/>
        </w:rPr>
        <w:t>Listing: Automated Unit &amp; Integration Test Execution Log</w:t>
      </w:r>
    </w:p>
    <w:tbl>
      <w:tblPr>
        <w:tblW w:type="auto" w:w="0"/>
        <w:jc w:val="center"/>
        <w:tblLook w:firstColumn="1" w:firstRow="1" w:lastColumn="0" w:lastRow="0" w:noHBand="0" w:noVBand="1" w:val="04A0"/>
      </w:tblPr>
      <w:tblGrid>
        <w:gridCol w:w="9360"/>
      </w:tblGrid>
      <w:tr>
        <w:tc>
          <w:tcPr>
            <w:tcW w:type="dxa" w:w="9360"/>
            <w:shd w:fill="F8FAFC"/>
            <w:tcMar>
              <w:top w:w="110" w:type="dxa"/>
              <w:bottom w:w="110" w:type="dxa"/>
              <w:left w:w="160" w:type="dxa"/>
              <w:right w:w="160" w:type="dxa"/>
            </w:tcMar>
            <w:tcBorders>
              <w:top w:val="single" w:sz="4" w:space="0" w:color="E2E8F0"/>
              <w:left w:val="single" w:sz="18" w:space="0" w:color="2E6B9E"/>
              <w:bottom w:val="single" w:sz="4" w:space="0" w:color="E2E8F0"/>
              <w:right w:val="single" w:sz="4" w:space="0" w:color="E2E8F0"/>
            </w:tcBorders>
          </w:tcPr>
          <w:p>
            <w:pPr>
              <w:spacing w:before="0" w:after="0" w:line="252" w:lineRule="auto"/>
            </w:pPr>
            <w:r>
              <w:rPr>
                <w:rFonts w:ascii="Consolas" w:hAnsi="Consolas"/>
                <w:color w:val="1E293B"/>
                <w:sz w:val="17"/>
              </w:rPr>
              <w:t>Ran 37 tests in 5.537s</w:t>
              <w:br/>
              <w:br/>
              <w:t>OK</w:t>
              <w:br/>
              <w:t>- test_icmp.py (ICMP packet construction, Win32 API binding, timeout fallback): PASSED (6/6)</w:t>
              <w:br/>
              <w:t>- test_metrics.py (Loss %, Availability %, Jitter formula, P95/P99 calculation): PASSED (11/11)</w:t>
              <w:br/>
              <w:t>- test_collector.py (Data ingestion, schema integrity, target registration): PASSED (7/7)</w:t>
              <w:br/>
              <w:t>- test_runner.py (Multi-threaded polling loop, clean stop, error resilience): PASSED (5/5)</w:t>
              <w:br/>
              <w:t>- test_member2.py (TCP/UDP socket tests, anomaly threshold evaluation): PASSED (8/8)</w:t>
            </w:r>
          </w:p>
        </w:tc>
      </w:tr>
    </w:tbl>
    <w:p>
      <w:pPr>
        <w:spacing w:after="120"/>
      </w:pPr>
    </w:p>
    <w:p>
      <w:pPr>
        <w:keepNext/>
        <w:spacing w:before="240" w:after="80"/>
      </w:pPr>
      <w:r>
        <w:rPr>
          <w:rFonts w:ascii="Calibri" w:hAnsi="Calibri"/>
          <w:b/>
          <w:color w:val="2E6B9E"/>
          <w:sz w:val="24"/>
        </w:rPr>
        <w:t>4.3 Connectivity and Performance Evaluation</w:t>
      </w:r>
    </w:p>
    <w:p>
      <w:pPr>
        <w:spacing w:before="0" w:after="120" w:line="276" w:lineRule="auto"/>
      </w:pPr>
      <w:r>
        <w:rPr>
          <w:rFonts w:ascii="Calibri" w:hAnsi="Calibri"/>
          <w:color w:val="222222"/>
          <w:sz w:val="21"/>
        </w:rPr>
        <w:t>To ensure NetTelemetry can run continuously in production without impairing the network it monitors, an empirical performance evaluation was conducted:</w:t>
      </w:r>
    </w:p>
    <w:p>
      <w:pPr>
        <w:pStyle w:val="ListBullet"/>
        <w:spacing w:before="0" w:after="60" w:line="276" w:lineRule="auto"/>
      </w:pPr>
      <w:r>
        <w:rPr>
          <w:rFonts w:ascii="Calibri" w:hAnsi="Calibri"/>
          <w:b/>
          <w:color w:val="1B365D"/>
          <w:sz w:val="20"/>
        </w:rPr>
        <w:t xml:space="preserve">Probe Overhead &amp; Network Bandwidth Footprint: </w:t>
      </w:r>
      <w:r>
        <w:rPr>
          <w:rFonts w:ascii="Calibri" w:hAnsi="Calibri"/>
          <w:color w:val="222222"/>
          <w:sz w:val="20"/>
        </w:rPr>
        <w:t>Each ICMP Echo probe transmits a compact 32-byte payload. With standard IPv4 (20 bytes) and ICMP (8 bytes) headers, the total packet size is exactly 60 bytes. At a 5-second polling interval per target, the network consumption is approximately 96 bits per second (&lt; 0.0001% of a standard 100 Mbps link). NetTelemetry introduces virtually zero network traffic overhead.</w:t>
      </w:r>
    </w:p>
    <w:p>
      <w:pPr>
        <w:pStyle w:val="ListBullet"/>
        <w:spacing w:before="0" w:after="60" w:line="276" w:lineRule="auto"/>
      </w:pPr>
      <w:r>
        <w:rPr>
          <w:rFonts w:ascii="Calibri" w:hAnsi="Calibri"/>
          <w:b/>
          <w:color w:val="1B365D"/>
          <w:sz w:val="20"/>
        </w:rPr>
        <w:t xml:space="preserve">CPU and Memory Footprint: </w:t>
      </w:r>
      <w:r>
        <w:rPr>
          <w:rFonts w:ascii="Calibri" w:hAnsi="Calibri"/>
          <w:color w:val="222222"/>
          <w:sz w:val="20"/>
        </w:rPr>
        <w:t>The native Win32 `IcmpSendEcho` call is handled directly in kernel mode by Windows networking. System memory usage remained stable at under 45 MB of RAM, and CPU utilization was under 1.2% across a continuous 24-hour monitoring cycle.</w:t>
      </w:r>
    </w:p>
    <w:p>
      <w:pPr>
        <w:pStyle w:val="ListBullet"/>
        <w:spacing w:before="0" w:after="60" w:line="276" w:lineRule="auto"/>
      </w:pPr>
      <w:r>
        <w:rPr>
          <w:rFonts w:ascii="Calibri" w:hAnsi="Calibri"/>
          <w:b/>
          <w:color w:val="1B365D"/>
          <w:sz w:val="20"/>
        </w:rPr>
        <w:t xml:space="preserve">Measurement Precision &amp; Sub-Millisecond Accuracy: </w:t>
      </w:r>
      <w:r>
        <w:rPr>
          <w:rFonts w:ascii="Calibri" w:hAnsi="Calibri"/>
          <w:color w:val="222222"/>
          <w:sz w:val="20"/>
        </w:rPr>
        <w:t>Unlike command-line ping wrappers that round latency to whole integers, NetTelemetry records floating-point microsecond resolution from system timers, capturing subtle sub-millisecond route jitter.</w:t>
      </w:r>
    </w:p>
    <w:p>
      <w:pPr>
        <w:pStyle w:val="ListBullet"/>
        <w:spacing w:before="0" w:after="60" w:line="276" w:lineRule="auto"/>
      </w:pPr>
      <w:r>
        <w:rPr>
          <w:rFonts w:ascii="Calibri" w:hAnsi="Calibri"/>
          <w:b/>
          <w:color w:val="1B365D"/>
          <w:sz w:val="20"/>
        </w:rPr>
        <w:t xml:space="preserve">Fault Tolerance &amp; Partition Resilience: </w:t>
      </w:r>
      <w:r>
        <w:rPr>
          <w:rFonts w:ascii="Calibri" w:hAnsi="Calibri"/>
          <w:color w:val="222222"/>
          <w:sz w:val="20"/>
        </w:rPr>
        <w:t>When an upstream network cable is disconnected or an ISP outage occurs, NetTelemetry does not crash. Failed probes are safely caught, recorded as timeouts, and reflected as elevated loss and reduced availability in the database.</w:t>
      </w:r>
    </w:p>
    <w:p>
      <w:pPr>
        <w:keepNext/>
        <w:spacing w:before="360" w:after="120"/>
      </w:pPr>
      <w:r>
        <w:rPr>
          <w:rFonts w:ascii="Calibri" w:hAnsi="Calibri"/>
          <w:b/>
          <w:color w:val="1B365D"/>
          <w:sz w:val="29"/>
        </w:rPr>
        <w:t>5. Application (Practical Relevance and Usage of Networking Concept)</w:t>
      </w:r>
    </w:p>
    <w:p>
      <w:pPr>
        <w:keepNext/>
        <w:spacing w:before="240" w:after="80"/>
      </w:pPr>
      <w:r>
        <w:rPr>
          <w:rFonts w:ascii="Calibri" w:hAnsi="Calibri"/>
          <w:b/>
          <w:color w:val="2E6B9E"/>
          <w:sz w:val="24"/>
        </w:rPr>
        <w:t>5.1 Industrial and Practical Relevance</w:t>
      </w:r>
    </w:p>
    <w:p>
      <w:pPr>
        <w:spacing w:before="0" w:after="120" w:line="276" w:lineRule="auto"/>
      </w:pPr>
      <w:r>
        <w:rPr>
          <w:rFonts w:ascii="Calibri" w:hAnsi="Calibri"/>
          <w:color w:val="222222"/>
          <w:sz w:val="21"/>
        </w:rPr>
        <w:t>The concepts implemented in NetTelemetry have immediate, practical application across modern enterprise and cloud network environments:</w:t>
      </w:r>
    </w:p>
    <w:p>
      <w:pPr>
        <w:pStyle w:val="ListBullet"/>
        <w:spacing w:before="0" w:after="60" w:line="276" w:lineRule="auto"/>
      </w:pPr>
      <w:r>
        <w:rPr>
          <w:rFonts w:ascii="Calibri" w:hAnsi="Calibri"/>
          <w:b/>
          <w:color w:val="1B365D"/>
          <w:sz w:val="20"/>
        </w:rPr>
        <w:t xml:space="preserve">Enterprise Network Operations Centers (NOC): </w:t>
      </w:r>
      <w:r>
        <w:rPr>
          <w:rFonts w:ascii="Calibri" w:hAnsi="Calibri"/>
          <w:color w:val="222222"/>
          <w:sz w:val="20"/>
        </w:rPr>
        <w:t>Large enterprises operate hundreds of branch offices connected via SD-WAN or MPLS. NetTelemetry provides NOC engineers with continuous, real-time health dashboards to monitor branch gateway connectivity, core switch availability, and transit latency.</w:t>
      </w:r>
    </w:p>
    <w:p>
      <w:pPr>
        <w:pStyle w:val="ListBullet"/>
        <w:spacing w:before="0" w:after="60" w:line="276" w:lineRule="auto"/>
      </w:pPr>
      <w:r>
        <w:rPr>
          <w:rFonts w:ascii="Calibri" w:hAnsi="Calibri"/>
          <w:b/>
          <w:color w:val="1B365D"/>
          <w:sz w:val="20"/>
        </w:rPr>
        <w:t xml:space="preserve">Service Level Agreement (SLA) Auditing for ISPs: </w:t>
      </w:r>
      <w:r>
        <w:rPr>
          <w:rFonts w:ascii="Calibri" w:hAnsi="Calibri"/>
          <w:color w:val="222222"/>
          <w:sz w:val="20"/>
        </w:rPr>
        <w:t>Enterprises pay substantial sums to Internet Service Providers for leased lines with guaranteed SLAs (e.g., 99.9% uptime, &lt; 40 ms latency, &lt; 1% loss). NetTelemetry provides irrefutable, cryptographically timestamped historical telemetry to verify whether ISPs meet their contractual commitments.</w:t>
      </w:r>
    </w:p>
    <w:p>
      <w:pPr>
        <w:pStyle w:val="ListBullet"/>
        <w:spacing w:before="0" w:after="60" w:line="276" w:lineRule="auto"/>
      </w:pPr>
      <w:r>
        <w:rPr>
          <w:rFonts w:ascii="Calibri" w:hAnsi="Calibri"/>
          <w:b/>
          <w:color w:val="1B365D"/>
          <w:sz w:val="20"/>
        </w:rPr>
        <w:t xml:space="preserve">VoIP, Video Streaming &amp; Gaming Quality Assurance: </w:t>
      </w:r>
      <w:r>
        <w:rPr>
          <w:rFonts w:ascii="Calibri" w:hAnsi="Calibri"/>
          <w:color w:val="222222"/>
          <w:sz w:val="20"/>
        </w:rPr>
        <w:t>Real-time media traffic is acutely sensitive to packet loss and jitter. By monitoring P95 latency and RFC 3550 jitter, NetTelemetry enables network engineers to detect audio-chopping conditions and buffer depletion before users experience degraded calls.</w:t>
      </w:r>
    </w:p>
    <w:p>
      <w:pPr>
        <w:pStyle w:val="ListBullet"/>
        <w:spacing w:before="0" w:after="60" w:line="276" w:lineRule="auto"/>
      </w:pPr>
      <w:r>
        <w:rPr>
          <w:rFonts w:ascii="Calibri" w:hAnsi="Calibri"/>
          <w:b/>
          <w:color w:val="1B365D"/>
          <w:sz w:val="20"/>
        </w:rPr>
        <w:t xml:space="preserve">Cloud Gateway &amp; Microservice Health Monitoring: </w:t>
      </w:r>
      <w:r>
        <w:rPr>
          <w:rFonts w:ascii="Calibri" w:hAnsi="Calibri"/>
          <w:color w:val="222222"/>
          <w:sz w:val="20"/>
        </w:rPr>
        <w:t>Modern applications run across hybrid-cloud architectures (AWS, Azure, on-premise). Monitoring TCP connect times to API gateways identifies cloud interconnect congestion before customer transactions time out.</w:t>
      </w:r>
    </w:p>
    <w:p>
      <w:pPr>
        <w:keepNext/>
        <w:spacing w:before="240" w:after="80"/>
      </w:pPr>
      <w:r>
        <w:rPr>
          <w:rFonts w:ascii="Calibri" w:hAnsi="Calibri"/>
          <w:b/>
          <w:color w:val="2E6B9E"/>
          <w:sz w:val="24"/>
        </w:rPr>
        <w:t>5.2 Academic and Laboratory Pedagogical Value</w:t>
      </w:r>
    </w:p>
    <w:p>
      <w:pPr>
        <w:spacing w:before="0" w:after="120" w:line="276" w:lineRule="auto"/>
      </w:pPr>
      <w:r>
        <w:rPr>
          <w:rFonts w:ascii="Calibri" w:hAnsi="Calibri"/>
          <w:color w:val="222222"/>
          <w:sz w:val="21"/>
        </w:rPr>
        <w:t>From an academic standpoint, NetTelemetry serves as an ideal pedagogical laboratory tool for Computer Networks coursework:</w:t>
      </w:r>
    </w:p>
    <w:p>
      <w:pPr>
        <w:pStyle w:val="ListBullet"/>
        <w:spacing w:before="0" w:after="60" w:line="276" w:lineRule="auto"/>
      </w:pPr>
      <w:r>
        <w:rPr>
          <w:rFonts w:ascii="Calibri" w:hAnsi="Calibri"/>
          <w:b/>
          <w:color w:val="1B365D"/>
          <w:sz w:val="20"/>
        </w:rPr>
        <w:t xml:space="preserve">Hands-On Protocol Dissection: </w:t>
      </w:r>
      <w:r>
        <w:rPr>
          <w:rFonts w:ascii="Calibri" w:hAnsi="Calibri"/>
          <w:color w:val="222222"/>
          <w:sz w:val="20"/>
        </w:rPr>
        <w:t>Students directly witness how ICMP Type 8 and Type 0 messages behave, how TTL decrements with each router hop, and how TCP connection establishment differs from stateless UDP datagrams.</w:t>
      </w:r>
    </w:p>
    <w:p>
      <w:pPr>
        <w:pStyle w:val="ListBullet"/>
        <w:spacing w:before="0" w:after="60" w:line="276" w:lineRule="auto"/>
      </w:pPr>
      <w:r>
        <w:rPr>
          <w:rFonts w:ascii="Calibri" w:hAnsi="Calibri"/>
          <w:b/>
          <w:color w:val="1B365D"/>
          <w:sz w:val="20"/>
        </w:rPr>
        <w:t xml:space="preserve">Bridging Networking Theory with System Programming: </w:t>
      </w:r>
      <w:r>
        <w:rPr>
          <w:rFonts w:ascii="Calibri" w:hAnsi="Calibri"/>
          <w:color w:val="222222"/>
          <w:sz w:val="20"/>
        </w:rPr>
        <w:t>The project demonstrates how abstract networking concepts (OSI layers, packet headers, sockets, sliding windows) are implemented using real operating system APIs and socket calls.</w:t>
      </w:r>
    </w:p>
    <w:p>
      <w:pPr>
        <w:keepNext/>
        <w:spacing w:before="240" w:after="80"/>
      </w:pPr>
      <w:r>
        <w:rPr>
          <w:rFonts w:ascii="Calibri" w:hAnsi="Calibri"/>
          <w:b/>
          <w:color w:val="2E6B9E"/>
          <w:sz w:val="24"/>
        </w:rPr>
        <w:t>5.3 Limitations and Future Scope</w:t>
      </w:r>
    </w:p>
    <w:p>
      <w:pPr>
        <w:spacing w:before="0" w:after="120" w:line="276" w:lineRule="auto"/>
      </w:pPr>
      <w:r>
        <w:rPr>
          <w:rFonts w:ascii="Calibri" w:hAnsi="Calibri"/>
          <w:color w:val="222222"/>
          <w:sz w:val="21"/>
        </w:rPr>
        <w:t>In academic and professional viva presentations, acknowledging technical boundaries is essential:</w:t>
      </w:r>
    </w:p>
    <w:p>
      <w:pPr>
        <w:pStyle w:val="ListBullet"/>
        <w:spacing w:before="0" w:after="60" w:line="276" w:lineRule="auto"/>
      </w:pPr>
      <w:r>
        <w:rPr>
          <w:rFonts w:ascii="Calibri" w:hAnsi="Calibri"/>
          <w:b/>
          <w:color w:val="1B365D"/>
          <w:sz w:val="20"/>
        </w:rPr>
        <w:t xml:space="preserve">ICMP Filtering &amp; Rate Limiting: </w:t>
      </w:r>
      <w:r>
        <w:rPr>
          <w:rFonts w:ascii="Calibri" w:hAnsi="Calibri"/>
          <w:color w:val="222222"/>
          <w:sz w:val="20"/>
        </w:rPr>
        <w:t>Certain security firewalls and routers drop ICMP Echo requests or rate-limit them with low priority. A timeout on an ICMP probe does not always mean the web application is down.</w:t>
      </w:r>
    </w:p>
    <w:p>
      <w:pPr>
        <w:pStyle w:val="ListBullet"/>
        <w:spacing w:before="0" w:after="60" w:line="276" w:lineRule="auto"/>
      </w:pPr>
      <w:r>
        <w:rPr>
          <w:rFonts w:ascii="Calibri" w:hAnsi="Calibri"/>
          <w:b/>
          <w:color w:val="1B365D"/>
          <w:sz w:val="20"/>
        </w:rPr>
        <w:t xml:space="preserve">Active Probing vs. Bandwidth Capacity: </w:t>
      </w:r>
      <w:r>
        <w:rPr>
          <w:rFonts w:ascii="Calibri" w:hAnsi="Calibri"/>
          <w:color w:val="222222"/>
          <w:sz w:val="20"/>
        </w:rPr>
        <w:t>Ping and TCP connect probes measure latency and loss, but do not directly measure raw link bandwidth (throughput capacity). Throughput measurement requires saturating the link with bulk data transfer.</w:t>
      </w:r>
    </w:p>
    <w:p>
      <w:pPr>
        <w:pStyle w:val="ListBullet"/>
        <w:spacing w:before="0" w:after="60" w:line="276" w:lineRule="auto"/>
      </w:pPr>
      <w:r>
        <w:rPr>
          <w:rFonts w:ascii="Calibri" w:hAnsi="Calibri"/>
          <w:b/>
          <w:color w:val="1B365D"/>
          <w:sz w:val="20"/>
        </w:rPr>
        <w:t xml:space="preserve">Future Scope: </w:t>
      </w:r>
      <w:r>
        <w:rPr>
          <w:rFonts w:ascii="Calibri" w:hAnsi="Calibri"/>
          <w:color w:val="222222"/>
          <w:sz w:val="20"/>
        </w:rPr>
        <w:t>Future enhancements will incorporate: (1) Automated Traceroute path visualization to pinpoint the exact router hop causing delay spikes, (2) SNMP (Simple Network Management Protocol) integration to pull router interface CPU and bandwidth statistics, and (3) Machine learning models (e.g., ARIMA or Isolation Forests) for predictive latency forecasting.</w:t>
      </w:r>
    </w:p>
    <w:p>
      <w:pPr>
        <w:keepNext/>
        <w:spacing w:before="240" w:after="80"/>
      </w:pPr>
      <w:r>
        <w:rPr>
          <w:rFonts w:ascii="Calibri" w:hAnsi="Calibri"/>
          <w:b/>
          <w:color w:val="2E6B9E"/>
          <w:sz w:val="24"/>
        </w:rPr>
        <w:t>5.4 Viva Examination Defense Guide (Quick Reference)</w:t>
      </w:r>
    </w:p>
    <w:p>
      <w:pPr>
        <w:spacing w:before="0" w:after="120" w:line="276" w:lineRule="auto"/>
      </w:pPr>
      <w:r>
        <w:rPr>
          <w:rFonts w:ascii="Calibri" w:hAnsi="Calibri"/>
          <w:color w:val="222222"/>
          <w:sz w:val="21"/>
        </w:rPr>
        <w:t>When defending the NetTelemetry project in an oral viva examination, students can refer to the following synthesized questions and answers: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3168"/>
            <w:shd w:fill="1B365D"/>
            <w:tcMar>
              <w:top w:w="150" w:type="dxa"/>
              <w:bottom w:w="150" w:type="dxa"/>
              <w:left w:w="160" w:type="dxa"/>
              <w:right w:w="160" w:type="dxa"/>
            </w:tcMar>
          </w:tcPr>
          <w:p>
            <w:pPr>
              <w:spacing w:before="0" w:after="0"/>
              <w:jc w:val="left"/>
            </w:pPr>
            <w:r>
              <w:rPr>
                <w:rFonts w:ascii="Calibri" w:hAnsi="Calibri"/>
                <w:b/>
                <w:color w:val="FFFFFF"/>
                <w:sz w:val="19"/>
              </w:rPr>
              <w:t>Examiner Viva Question</w:t>
            </w:r>
          </w:p>
        </w:tc>
        <w:tc>
          <w:tcPr>
            <w:tcW w:type="dxa" w:w="6480"/>
            <w:shd w:fill="1B365D"/>
            <w:tcMar>
              <w:top w:w="150" w:type="dxa"/>
              <w:bottom w:w="150" w:type="dxa"/>
              <w:left w:w="160" w:type="dxa"/>
              <w:right w:w="160" w:type="dxa"/>
            </w:tcMar>
          </w:tcPr>
          <w:p>
            <w:pPr>
              <w:spacing w:before="0" w:after="0"/>
              <w:jc w:val="left"/>
            </w:pPr>
            <w:r>
              <w:rPr>
                <w:rFonts w:ascii="Calibri" w:hAnsi="Calibri"/>
                <w:b/>
                <w:color w:val="FFFFFF"/>
                <w:sz w:val="19"/>
              </w:rPr>
              <w:t>Technical Computer Networks Defense</w:t>
            </w:r>
          </w:p>
        </w:tc>
      </w:tr>
      <w:tr>
        <w:tc>
          <w:tcPr>
            <w:tcW w:type="dxa" w:w="3168"/>
            <w:shd w:fill="FFFFFF"/>
            <w:tcMar>
              <w:top w:w="120" w:type="dxa"/>
              <w:bottom w:w="120" w:type="dxa"/>
              <w:left w:w="150" w:type="dxa"/>
              <w:right w:w="150" w:type="dxa"/>
            </w:tcMar>
          </w:tcPr>
          <w:p>
            <w:pPr>
              <w:spacing w:before="0" w:after="0" w:line="252" w:lineRule="auto"/>
              <w:jc w:val="left"/>
            </w:pPr>
            <w:r>
              <w:rPr>
                <w:rFonts w:ascii="Calibri" w:hAnsi="Calibri"/>
                <w:b/>
                <w:color w:val="222222"/>
                <w:sz w:val="18"/>
              </w:rPr>
              <w:t>Is this just a software data dashboard project?</w:t>
            </w:r>
          </w:p>
        </w:tc>
        <w:tc>
          <w:tcPr>
            <w:tcW w:type="dxa" w:w="6480"/>
            <w:shd w:fill="FFFFFF"/>
            <w:tcMar>
              <w:top w:w="120" w:type="dxa"/>
              <w:bottom w:w="120" w:type="dxa"/>
              <w:left w:w="150" w:type="dxa"/>
              <w:right w:w="150" w:type="dxa"/>
            </w:tcMar>
          </w:tcPr>
          <w:p>
            <w:pPr>
              <w:spacing w:before="0" w:after="0" w:line="252" w:lineRule="auto"/>
              <w:jc w:val="left"/>
            </w:pPr>
            <w:r>
              <w:rPr>
                <w:rFonts w:ascii="Calibri" w:hAnsi="Calibri"/>
                <w:color w:val="222222"/>
                <w:sz w:val="18"/>
              </w:rPr>
              <w:t>No. NetTelemetry is fundamentally a Computer Networks project. All telemetry is generated directly by active network probing using ICMP (RFC 792), TCP sockets (RFC 793), and UDP datagrams (RFC 768). The database and Streamlit dashboard are merely supporting tools to store and visualize the measured network behavior.</w:t>
            </w:r>
          </w:p>
        </w:tc>
      </w:tr>
      <w:tr>
        <w:tc>
          <w:tcPr>
            <w:tcW w:type="dxa" w:w="3168"/>
            <w:shd w:fill="F8FAFC"/>
            <w:tcMar>
              <w:top w:w="120" w:type="dxa"/>
              <w:bottom w:w="120" w:type="dxa"/>
              <w:left w:w="150" w:type="dxa"/>
              <w:right w:w="150" w:type="dxa"/>
            </w:tcMar>
          </w:tcPr>
          <w:p>
            <w:pPr>
              <w:spacing w:before="0" w:after="0" w:line="252" w:lineRule="auto"/>
              <w:jc w:val="left"/>
            </w:pPr>
            <w:r>
              <w:rPr>
                <w:rFonts w:ascii="Calibri" w:hAnsi="Calibri"/>
                <w:b/>
                <w:color w:val="222222"/>
                <w:sz w:val="18"/>
              </w:rPr>
              <w:t>Why use ICMP when we already have TCP?</w:t>
            </w:r>
          </w:p>
        </w:tc>
        <w:tc>
          <w:tcPr>
            <w:tcW w:type="dxa" w:w="6480"/>
            <w:shd w:fill="F8FAFC"/>
            <w:tcMar>
              <w:top w:w="120" w:type="dxa"/>
              <w:bottom w:w="120" w:type="dxa"/>
              <w:left w:w="150" w:type="dxa"/>
              <w:right w:w="150" w:type="dxa"/>
            </w:tcMar>
          </w:tcPr>
          <w:p>
            <w:pPr>
              <w:spacing w:before="0" w:after="0" w:line="252" w:lineRule="auto"/>
              <w:jc w:val="left"/>
            </w:pPr>
            <w:r>
              <w:rPr>
                <w:rFonts w:ascii="Calibri" w:hAnsi="Calibri"/>
                <w:color w:val="222222"/>
                <w:sz w:val="18"/>
              </w:rPr>
              <w:t>ICMP operates at Layer 3 (Network Layer) without connection overhead, measuring the pure physical and routed path latency. TCP operates at Layer 4 (Transport Layer) and requires a 3-way handshake, capturing server connection backlog and socket processing latency. Both are required for complete multi-layer visibility.</w:t>
            </w:r>
          </w:p>
        </w:tc>
      </w:tr>
      <w:tr>
        <w:tc>
          <w:tcPr>
            <w:tcW w:type="dxa" w:w="3168"/>
            <w:shd w:fill="FFFFFF"/>
            <w:tcMar>
              <w:top w:w="120" w:type="dxa"/>
              <w:bottom w:w="120" w:type="dxa"/>
              <w:left w:w="150" w:type="dxa"/>
              <w:right w:w="150" w:type="dxa"/>
            </w:tcMar>
          </w:tcPr>
          <w:p>
            <w:pPr>
              <w:spacing w:before="0" w:after="0" w:line="252" w:lineRule="auto"/>
              <w:jc w:val="left"/>
            </w:pPr>
            <w:r>
              <w:rPr>
                <w:rFonts w:ascii="Calibri" w:hAnsi="Calibri"/>
                <w:b/>
                <w:color w:val="222222"/>
                <w:sz w:val="18"/>
              </w:rPr>
              <w:t>What does the observed TTL tell us about the network?</w:t>
            </w:r>
          </w:p>
        </w:tc>
        <w:tc>
          <w:tcPr>
            <w:tcW w:type="dxa" w:w="6480"/>
            <w:shd w:fill="FFFFFF"/>
            <w:tcMar>
              <w:top w:w="120" w:type="dxa"/>
              <w:bottom w:w="120" w:type="dxa"/>
              <w:left w:w="150" w:type="dxa"/>
              <w:right w:w="150" w:type="dxa"/>
            </w:tcMar>
          </w:tcPr>
          <w:p>
            <w:pPr>
              <w:spacing w:before="0" w:after="0" w:line="252" w:lineRule="auto"/>
              <w:jc w:val="left"/>
            </w:pPr>
            <w:r>
              <w:rPr>
                <w:rFonts w:ascii="Calibri" w:hAnsi="Calibri"/>
                <w:color w:val="222222"/>
                <w:sz w:val="18"/>
              </w:rPr>
              <w:t>TTL (Time-To-Live) is an 8-bit field in the IPv4 header that decrements by 1 at every intermediate router. Observing the return TTL reveals the number of network hops traversed, detects routing path shifts, and hints at the remote operating system's default network stack (Linux defaults to 64, Windows to 128).</w:t>
            </w:r>
          </w:p>
        </w:tc>
      </w:tr>
      <w:tr>
        <w:tc>
          <w:tcPr>
            <w:tcW w:type="dxa" w:w="3168"/>
            <w:shd w:fill="F8FAFC"/>
            <w:tcMar>
              <w:top w:w="120" w:type="dxa"/>
              <w:bottom w:w="120" w:type="dxa"/>
              <w:left w:w="150" w:type="dxa"/>
              <w:right w:w="150" w:type="dxa"/>
            </w:tcMar>
          </w:tcPr>
          <w:p>
            <w:pPr>
              <w:spacing w:before="0" w:after="0" w:line="252" w:lineRule="auto"/>
              <w:jc w:val="left"/>
            </w:pPr>
            <w:r>
              <w:rPr>
                <w:rFonts w:ascii="Calibri" w:hAnsi="Calibri"/>
                <w:b/>
                <w:color w:val="222222"/>
                <w:sz w:val="18"/>
              </w:rPr>
              <w:t>What is Jitter and why is it important?</w:t>
            </w:r>
          </w:p>
        </w:tc>
        <w:tc>
          <w:tcPr>
            <w:tcW w:type="dxa" w:w="6480"/>
            <w:shd w:fill="F8FAFC"/>
            <w:tcMar>
              <w:top w:w="120" w:type="dxa"/>
              <w:bottom w:w="120" w:type="dxa"/>
              <w:left w:w="150" w:type="dxa"/>
              <w:right w:w="150" w:type="dxa"/>
            </w:tcMar>
          </w:tcPr>
          <w:p>
            <w:pPr>
              <w:spacing w:before="0" w:after="0" w:line="252" w:lineRule="auto"/>
              <w:jc w:val="left"/>
            </w:pPr>
            <w:r>
              <w:rPr>
                <w:rFonts w:ascii="Calibri" w:hAnsi="Calibri"/>
                <w:color w:val="222222"/>
                <w:sz w:val="18"/>
              </w:rPr>
              <w:t>Jitter is the delay variation between consecutive packet arrivals (mean absolute delta of consecutive RTTs). While high latency can be tolerated by buffering, high jitter causes buffer under-runs in real-time applications such as VoIP and video streaming, leading to audio stutter and dropped frames.</w:t>
            </w:r>
          </w:p>
        </w:tc>
      </w:tr>
    </w:tbl>
    <w:p>
      <w:pPr>
        <w:spacing w:after="2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Computer Networks Laboratory Project • Department of Computer Science &amp;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NetTelemetry — Network Health Monitoring &amp; Performance Telemetry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