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00000"/>
          <w:sz w:val="36"/>
        </w:rPr>
        <w:t>GREEN COMPUTING AND SUSTAINABILITY IN PRODZ</w:t>
      </w:r>
    </w:p>
    <w:p>
      <w:pPr>
        <w:spacing w:before="0" w:after="400"/>
        <w:jc w:val="center"/>
      </w:pPr>
      <w:r>
        <w:rPr>
          <w:rFonts w:ascii="Calibri" w:hAnsi="Calibri"/>
          <w:i/>
          <w:color w:val="000000"/>
          <w:sz w:val="22"/>
        </w:rPr>
        <w:t>A Formal Examination of Green Software Engineering Principles and Implementation Practices</w:t>
      </w:r>
    </w:p>
    <w:p>
      <w:pPr>
        <w:keepNext/>
        <w:spacing w:before="280" w:after="80"/>
      </w:pPr>
      <w:r>
        <w:rPr>
          <w:rFonts w:ascii="Calibri" w:hAnsi="Calibri"/>
          <w:b/>
          <w:color w:val="000000"/>
          <w:sz w:val="26"/>
        </w:rPr>
        <w:t>1. Introduction to Green Computing in Software Engineering</w:t>
      </w:r>
    </w:p>
    <w:p>
      <w:pPr>
        <w:spacing w:before="0" w:after="120" w:line="276" w:lineRule="auto"/>
      </w:pPr>
      <w:r>
        <w:rPr>
          <w:rFonts w:ascii="Calibri" w:hAnsi="Calibri"/>
          <w:color w:val="000000"/>
          <w:sz w:val="21"/>
        </w:rPr>
        <w:t>Green computing refers to the practice of designing, building, and operating computing systems in an environmentally responsible manner. Historically, green computing focused primarily on hardware efficiency, such as manufacturing energy-efficient chips and optimizing data center cooling. However, as software platforms have grown increasingly complex, the discipline of Green Software Engineering (GSE) has emerged. This discipline emphasizes that every line of code, network transmission, and background task translates directly into electricity consumption and associated carbon emissions.</w:t>
      </w:r>
    </w:p>
    <w:p>
      <w:pPr>
        <w:spacing w:before="0" w:after="120" w:line="276" w:lineRule="auto"/>
      </w:pPr>
      <w:r>
        <w:rPr>
          <w:rFonts w:ascii="Calibri" w:hAnsi="Calibri"/>
          <w:color w:val="000000"/>
          <w:sz w:val="21"/>
        </w:rPr>
        <w:t>Modern productivity software typically relies heavily on centralized cloud infrastructure. Continuous background synchronization, cloud database queries, remote analytics beacons, and streaming media create a persistent energy drain across user devices and remote server farms. The ProdZ project was developed specifically to challenge this high-emission paradigm. ProdZ provides a comprehensive productivity suite—including task management, interval timers, restorative mobility guidance, and ambient soundscapes—while maintaining a strict commitment to zero cloud emissions, minimal energy consumption, and maximum sustainability.</w:t>
      </w:r>
    </w:p>
    <w:p>
      <w:pPr>
        <w:keepNext/>
        <w:spacing w:before="280" w:after="80"/>
      </w:pPr>
      <w:r>
        <w:rPr>
          <w:rFonts w:ascii="Calibri" w:hAnsi="Calibri"/>
          <w:b/>
          <w:color w:val="000000"/>
          <w:sz w:val="26"/>
        </w:rPr>
        <w:t>2. Green Computing Concepts Introduced in the Project</w:t>
      </w:r>
    </w:p>
    <w:p>
      <w:pPr>
        <w:spacing w:before="0" w:after="120" w:line="276" w:lineRule="auto"/>
      </w:pPr>
      <w:r>
        <w:rPr>
          <w:rFonts w:ascii="Calibri" w:hAnsi="Calibri"/>
          <w:color w:val="000000"/>
          <w:sz w:val="21"/>
        </w:rPr>
        <w:t>The ProdZ architecture introduces green computing principles across every layer of the application, spanning data storage, computational timing, media synthesis, and visual rendering:</w:t>
      </w:r>
    </w:p>
    <w:p>
      <w:pPr>
        <w:pStyle w:val="ListBullet"/>
        <w:spacing w:before="20" w:after="60" w:line="276" w:lineRule="auto"/>
      </w:pPr>
      <w:r>
        <w:rPr>
          <w:rFonts w:ascii="Calibri" w:hAnsi="Calibri"/>
          <w:b/>
          <w:color w:val="000000"/>
          <w:sz w:val="21"/>
        </w:rPr>
        <w:t xml:space="preserve">Zero-Cloud, Local-First Architecture: </w:t>
      </w:r>
      <w:r>
        <w:rPr>
          <w:rFonts w:ascii="Calibri" w:hAnsi="Calibri"/>
          <w:color w:val="000000"/>
          <w:sz w:val="21"/>
        </w:rPr>
        <w:t>Rather than utilizing centralized cloud servers and remote databases (such as Amazon Web Services or Google Cloud), ProdZ operates entirely within the user's local web browser. All application state, user tasks, focus logs, and settings are preserved in IndexedDB, a durable browser-native database. By eliminating cloud servers entirely, the application eliminates server idle power and avoids recurring data center energy consumption.</w:t>
      </w:r>
    </w:p>
    <w:p>
      <w:pPr>
        <w:pStyle w:val="ListBullet"/>
        <w:spacing w:before="20" w:after="60" w:line="276" w:lineRule="auto"/>
      </w:pPr>
      <w:r>
        <w:rPr>
          <w:rFonts w:ascii="Calibri" w:hAnsi="Calibri"/>
          <w:b/>
          <w:color w:val="000000"/>
          <w:sz w:val="21"/>
        </w:rPr>
        <w:t xml:space="preserve">Client-Side Digital Signal Processing (DSP) vs. Media Streaming: </w:t>
      </w:r>
      <w:r>
        <w:rPr>
          <w:rFonts w:ascii="Calibri" w:hAnsi="Calibri"/>
          <w:color w:val="000000"/>
          <w:sz w:val="21"/>
        </w:rPr>
        <w:t>Conventional focus applications stream audio files (such as MP3 or AAC streams) across content delivery networks, consuming significant bandwidth and transmission power. ProdZ replaces audio streaming with real-time mathematical synthesis using the Web Audio API. Pure musical notes, ambient chords, and nature sounds are generated mathematically on the client's local audio chip. This reduces network data transfer for audio to zero bytes.</w:t>
      </w:r>
    </w:p>
    <w:p>
      <w:pPr>
        <w:pStyle w:val="ListBullet"/>
        <w:spacing w:before="20" w:after="60" w:line="276" w:lineRule="auto"/>
      </w:pPr>
      <w:r>
        <w:rPr>
          <w:rFonts w:ascii="Calibri" w:hAnsi="Calibri"/>
          <w:b/>
          <w:color w:val="000000"/>
          <w:sz w:val="21"/>
        </w:rPr>
        <w:t xml:space="preserve">Event-Driven Idle Efficiency (Timestamp-Delta Timing): </w:t>
      </w:r>
      <w:r>
        <w:rPr>
          <w:rFonts w:ascii="Calibri" w:hAnsi="Calibri"/>
          <w:color w:val="000000"/>
          <w:sz w:val="21"/>
        </w:rPr>
        <w:t>Traditional interval timers frequently use continuous JavaScript polling loops (such as setInterval running every second) that constantly wake up the device's CPU and drain battery power. ProdZ utilizes timestamp-based delta timing (targetEndTime minus currentTime). The processor remains completely dormant while the countdown progresses, waking up only when an interval actually concludes.</w:t>
      </w:r>
    </w:p>
    <w:p>
      <w:pPr>
        <w:pStyle w:val="ListBullet"/>
        <w:spacing w:before="20" w:after="60" w:line="276" w:lineRule="auto"/>
      </w:pPr>
      <w:r>
        <w:rPr>
          <w:rFonts w:ascii="Calibri" w:hAnsi="Calibri"/>
          <w:b/>
          <w:color w:val="000000"/>
          <w:sz w:val="21"/>
        </w:rPr>
        <w:t xml:space="preserve">Page Visibility Resource Suspension: </w:t>
      </w:r>
      <w:r>
        <w:rPr>
          <w:rFonts w:ascii="Calibri" w:hAnsi="Calibri"/>
          <w:color w:val="000000"/>
          <w:sz w:val="21"/>
        </w:rPr>
        <w:t>Through the native Page Visibility API, ProdZ actively monitors whether its browser tab is visible. When the tab is hidden, minimized, or placed in the background, all visual rendering loops, SVG animations, and audio visualizer canvas updates are immediately suspended. This eliminates wasted GPU and CPU processing when the user is not actively viewing the interface.</w:t>
      </w:r>
    </w:p>
    <w:p>
      <w:pPr>
        <w:pStyle w:val="ListBullet"/>
        <w:spacing w:before="20" w:after="60" w:line="276" w:lineRule="auto"/>
      </w:pPr>
      <w:r>
        <w:rPr>
          <w:rFonts w:ascii="Calibri" w:hAnsi="Calibri"/>
          <w:b/>
          <w:color w:val="000000"/>
          <w:sz w:val="21"/>
        </w:rPr>
        <w:t xml:space="preserve">True-Black OLED Display Power Conservation: </w:t>
      </w:r>
      <w:r>
        <w:rPr>
          <w:rFonts w:ascii="Calibri" w:hAnsi="Calibri"/>
          <w:color w:val="000000"/>
          <w:sz w:val="21"/>
        </w:rPr>
        <w:t>ProdZ implements a high-contrast true-black OLED visual palette (#050505 / #07090e). On modern OLED and AMOLED displays, black pixels emit zero light and turn off completely. This design choice reduces screen power consumption by up to 30% to 40% compared to standard light-themed user interfaces, extending battery life on mobile and portable computers.</w:t>
      </w:r>
    </w:p>
    <w:p>
      <w:pPr>
        <w:keepNext/>
        <w:spacing w:before="280" w:after="80"/>
      </w:pPr>
      <w:r>
        <w:rPr>
          <w:rFonts w:ascii="Calibri" w:hAnsi="Calibri"/>
          <w:b/>
          <w:color w:val="000000"/>
          <w:sz w:val="26"/>
        </w:rPr>
        <w:t>3. How This Project Contributes to Environmental Sustainability</w:t>
      </w:r>
    </w:p>
    <w:p>
      <w:pPr>
        <w:spacing w:before="0" w:after="120" w:line="276" w:lineRule="auto"/>
      </w:pPr>
      <w:r>
        <w:rPr>
          <w:rFonts w:ascii="Calibri" w:hAnsi="Calibri"/>
          <w:color w:val="000000"/>
          <w:sz w:val="21"/>
        </w:rPr>
        <w:t>The implementation of ProdZ delivers direct, measurable sustainability benefits across the entire computing lifecycle:</w:t>
      </w:r>
    </w:p>
    <w:p>
      <w:pPr>
        <w:pStyle w:val="ListBullet"/>
        <w:spacing w:before="20" w:after="60" w:line="276" w:lineRule="auto"/>
      </w:pPr>
      <w:r>
        <w:rPr>
          <w:rFonts w:ascii="Calibri" w:hAnsi="Calibri"/>
          <w:b/>
          <w:color w:val="000000"/>
          <w:sz w:val="21"/>
        </w:rPr>
        <w:t xml:space="preserve">Elimination of Network Energy Intensity: </w:t>
      </w:r>
      <w:r>
        <w:rPr>
          <w:rFonts w:ascii="Calibri" w:hAnsi="Calibri"/>
          <w:color w:val="000000"/>
          <w:sz w:val="21"/>
        </w:rPr>
        <w:t>Data transmission over the internet requires significant electrical energy to power cell towers, optical repeaters, and network switches (estimated between 0.015 and 0.06 kWh per gigabyte). By loading once as a static, cacheable bundle under 300 kilobytes and generating all media and data storage locally, ProdZ reduces operational network transmission to zero.</w:t>
      </w:r>
    </w:p>
    <w:p>
      <w:pPr>
        <w:pStyle w:val="ListBullet"/>
        <w:spacing w:before="20" w:after="60" w:line="276" w:lineRule="auto"/>
      </w:pPr>
      <w:r>
        <w:rPr>
          <w:rFonts w:ascii="Calibri" w:hAnsi="Calibri"/>
          <w:b/>
          <w:color w:val="000000"/>
          <w:sz w:val="21"/>
        </w:rPr>
        <w:t xml:space="preserve">Mitigation of Data Center Carbon Footprints: </w:t>
      </w:r>
      <w:r>
        <w:rPr>
          <w:rFonts w:ascii="Calibri" w:hAnsi="Calibri"/>
          <w:color w:val="000000"/>
          <w:sz w:val="21"/>
        </w:rPr>
        <w:t>Global data centers account for roughly 1% to 1.5% of worldwide electricity use. Because ProdZ requires zero remote compute cycles, zero cloud databases, and zero server-side maintenance, its operational carbon intensity is strictly limited to the micro-watt electrical draw of the local device.</w:t>
      </w:r>
    </w:p>
    <w:p>
      <w:pPr>
        <w:pStyle w:val="ListBullet"/>
        <w:spacing w:before="20" w:after="60" w:line="276" w:lineRule="auto"/>
      </w:pPr>
      <w:r>
        <w:rPr>
          <w:rFonts w:ascii="Calibri" w:hAnsi="Calibri"/>
          <w:b/>
          <w:color w:val="000000"/>
          <w:sz w:val="21"/>
        </w:rPr>
        <w:t xml:space="preserve">Extension of Hardware Lifespan (Embodied Carbon Reduction): </w:t>
      </w:r>
      <w:r>
        <w:rPr>
          <w:rFonts w:ascii="Calibri" w:hAnsi="Calibri"/>
          <w:color w:val="000000"/>
          <w:sz w:val="21"/>
        </w:rPr>
        <w:t>A major contributor to computing emissions is 'embodied carbon'—the greenhouse gases emitted during the manufacturing and transport of devices. Many modern applications force premature hardware obsolescence by demanding excessive memory and processing power. ProdZ is engineered with plain CSS and minimal JavaScript dependencies, allowing it to run smoothly on older, low-spec, and energy-efficient machines, thereby extending their useful service life.</w:t>
      </w:r>
    </w:p>
    <w:p>
      <w:pPr>
        <w:pStyle w:val="ListBullet"/>
        <w:spacing w:before="20" w:after="60" w:line="276" w:lineRule="auto"/>
      </w:pPr>
      <w:r>
        <w:rPr>
          <w:rFonts w:ascii="Calibri" w:hAnsi="Calibri"/>
          <w:b/>
          <w:color w:val="000000"/>
          <w:sz w:val="21"/>
        </w:rPr>
        <w:t xml:space="preserve">Zero Surveillance and Zero Telemetry Overhead: </w:t>
      </w:r>
      <w:r>
        <w:rPr>
          <w:rFonts w:ascii="Calibri" w:hAnsi="Calibri"/>
          <w:color w:val="000000"/>
          <w:sz w:val="21"/>
        </w:rPr>
        <w:t>Commercial productivity applications routinely inject background tracking scripts, advertising beacons, and behavioral analytics. These background scripts consume continuous energy without providing user value. ProdZ contains zero third-party trackers, ensuring 100% user privacy and zero wasted processing power.</w:t>
      </w:r>
    </w:p>
    <w:p>
      <w:pPr>
        <w:keepNext/>
        <w:spacing w:before="280" w:after="80"/>
      </w:pPr>
      <w:r>
        <w:rPr>
          <w:rFonts w:ascii="Calibri" w:hAnsi="Calibri"/>
          <w:b/>
          <w:color w:val="000000"/>
          <w:sz w:val="26"/>
        </w:rPr>
        <w:t>4. Green Software Engineering Practices Followed</w:t>
      </w:r>
    </w:p>
    <w:p>
      <w:pPr>
        <w:spacing w:before="0" w:after="120" w:line="276" w:lineRule="auto"/>
      </w:pPr>
      <w:r>
        <w:rPr>
          <w:rFonts w:ascii="Calibri" w:hAnsi="Calibri"/>
          <w:color w:val="000000"/>
          <w:sz w:val="21"/>
        </w:rPr>
        <w:t>The Green Software Foundation (GSF) defines standard principles that professional software engineers must adopt to build sustainable systems. ProdZ strictly aligns with these recognized practices:</w:t>
      </w:r>
    </w:p>
    <w:p>
      <w:pPr>
        <w:pStyle w:val="ListBullet"/>
        <w:spacing w:before="20" w:after="60" w:line="276" w:lineRule="auto"/>
      </w:pPr>
      <w:r>
        <w:rPr>
          <w:rFonts w:ascii="Calibri" w:hAnsi="Calibri"/>
          <w:b/>
          <w:color w:val="000000"/>
          <w:sz w:val="21"/>
        </w:rPr>
        <w:t xml:space="preserve">Software Carbon Intensity (SCI) Minimization: </w:t>
      </w:r>
      <w:r>
        <w:rPr>
          <w:rFonts w:ascii="Calibri" w:hAnsi="Calibri"/>
          <w:color w:val="000000"/>
          <w:sz w:val="21"/>
        </w:rPr>
        <w:t>The SCI specification calculates the carbon footprint of a software application based on operational energy (E), the carbon intensity of the energy grid (I), and the embodied emissions of the hardware (M), divided by a functional unit (R). ProdZ drives 'E' toward its theoretical minimum by eliminating cloud servers, optimizing idle states, and minimizing client processing overhead.</w:t>
      </w:r>
    </w:p>
    <w:p>
      <w:pPr>
        <w:pStyle w:val="ListBullet"/>
        <w:spacing w:before="20" w:after="60" w:line="276" w:lineRule="auto"/>
      </w:pPr>
      <w:r>
        <w:rPr>
          <w:rFonts w:ascii="Calibri" w:hAnsi="Calibri"/>
          <w:b/>
          <w:color w:val="000000"/>
          <w:sz w:val="21"/>
        </w:rPr>
        <w:t xml:space="preserve">Energy Proportionality &amp; Efficiency: </w:t>
      </w:r>
      <w:r>
        <w:rPr>
          <w:rFonts w:ascii="Calibri" w:hAnsi="Calibri"/>
          <w:color w:val="000000"/>
          <w:sz w:val="21"/>
        </w:rPr>
        <w:t>Energy proportionality requires that a system consume power strictly in proportion to the value delivered. ProdZ avoids unnecessary resource consumption when idle and provides instantaneous responsiveness without sustained background load.</w:t>
      </w:r>
    </w:p>
    <w:p>
      <w:pPr>
        <w:pStyle w:val="ListBullet"/>
        <w:spacing w:before="20" w:after="60" w:line="276" w:lineRule="auto"/>
      </w:pPr>
      <w:r>
        <w:rPr>
          <w:rFonts w:ascii="Calibri" w:hAnsi="Calibri"/>
          <w:b/>
          <w:color w:val="000000"/>
          <w:sz w:val="21"/>
        </w:rPr>
        <w:t xml:space="preserve">Architectural Carbon Awareness: </w:t>
      </w:r>
      <w:r>
        <w:rPr>
          <w:rFonts w:ascii="Calibri" w:hAnsi="Calibri"/>
          <w:color w:val="000000"/>
          <w:sz w:val="21"/>
        </w:rPr>
        <w:t>ProdZ is architected with complete transparency regarding its footprint. Built-in green telemetry informs the user that all operations reside in local storage, reinforcing conscious energy conservation in daily software habits.</w:t>
      </w:r>
    </w:p>
    <w:p>
      <w:pPr>
        <w:pStyle w:val="ListBullet"/>
        <w:spacing w:before="20" w:after="60" w:line="276" w:lineRule="auto"/>
      </w:pPr>
      <w:r>
        <w:rPr>
          <w:rFonts w:ascii="Calibri" w:hAnsi="Calibri"/>
          <w:b/>
          <w:color w:val="000000"/>
          <w:sz w:val="21"/>
        </w:rPr>
        <w:t xml:space="preserve">Data Portability &amp; User Sovereignty: </w:t>
      </w:r>
      <w:r>
        <w:rPr>
          <w:rFonts w:ascii="Calibri" w:hAnsi="Calibri"/>
          <w:color w:val="000000"/>
          <w:sz w:val="21"/>
        </w:rPr>
        <w:t>Sustainable software must respect data longevity. ProdZ enables users to export and import their full application state as clean, human-readable JSON files. This ensures users are never locked into proprietary cloud ecosystems and can move their records between devices with zero data transfer emissions.</w:t>
      </w:r>
    </w:p>
    <w:p>
      <w:pPr>
        <w:keepNext/>
        <w:spacing w:before="280" w:after="80"/>
      </w:pPr>
      <w:r>
        <w:rPr>
          <w:rFonts w:ascii="Calibri" w:hAnsi="Calibri"/>
          <w:b/>
          <w:color w:val="000000"/>
          <w:sz w:val="26"/>
        </w:rPr>
        <w:t>5. Architectural Comparison: Conventional vs. Green Software</w:t>
      </w:r>
    </w:p>
    <w:p>
      <w:pPr>
        <w:spacing w:before="0" w:after="120" w:line="276" w:lineRule="auto"/>
      </w:pPr>
      <w:r>
        <w:rPr>
          <w:rFonts w:ascii="Calibri" w:hAnsi="Calibri"/>
          <w:color w:val="000000"/>
          <w:sz w:val="21"/>
        </w:rPr>
        <w:t>The following table highlights the architectural differences between a conventional cloud-dependent productivity platform and the sustainable approach implemented in ProdZ:</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120"/>
        <w:gridCol w:w="3120"/>
        <w:gridCol w:w="3120"/>
      </w:tblGrid>
      <w:tr>
        <w:tc>
          <w:tcPr>
            <w:tcW w:type="dxa" w:w="2592"/>
          </w:tcPr>
          <w:p>
            <w:pPr>
              <w:spacing w:before="80" w:after="80"/>
              <w:jc w:val="center"/>
            </w:pPr>
            <w:r>
              <w:rPr>
                <w:rFonts w:ascii="Calibri" w:hAnsi="Calibri"/>
                <w:b/>
                <w:color w:val="000000"/>
                <w:sz w:val="19"/>
              </w:rPr>
              <w:t>Evaluation Metric</w:t>
            </w:r>
          </w:p>
        </w:tc>
        <w:tc>
          <w:tcPr>
            <w:tcW w:type="dxa" w:w="3384"/>
          </w:tcPr>
          <w:p>
            <w:pPr>
              <w:spacing w:before="80" w:after="80"/>
              <w:jc w:val="center"/>
            </w:pPr>
            <w:r>
              <w:rPr>
                <w:rFonts w:ascii="Calibri" w:hAnsi="Calibri"/>
                <w:b/>
                <w:color w:val="000000"/>
                <w:sz w:val="19"/>
              </w:rPr>
              <w:t>Conventional Productivity App</w:t>
            </w:r>
          </w:p>
        </w:tc>
        <w:tc>
          <w:tcPr>
            <w:tcW w:type="dxa" w:w="3384"/>
          </w:tcPr>
          <w:p>
            <w:pPr>
              <w:spacing w:before="80" w:after="80"/>
              <w:jc w:val="center"/>
            </w:pPr>
            <w:r>
              <w:rPr>
                <w:rFonts w:ascii="Calibri" w:hAnsi="Calibri"/>
                <w:b/>
                <w:color w:val="000000"/>
                <w:sz w:val="19"/>
              </w:rPr>
              <w:t>ProdZ Green Software Architecture</w:t>
            </w:r>
          </w:p>
        </w:tc>
      </w:tr>
      <w:tr>
        <w:tc>
          <w:tcPr>
            <w:tcW w:type="dxa" w:w="2592"/>
          </w:tcPr>
          <w:p>
            <w:pPr>
              <w:spacing w:before="60" w:after="60" w:line="252" w:lineRule="auto"/>
              <w:jc w:val="center"/>
            </w:pPr>
            <w:r>
              <w:rPr>
                <w:rFonts w:ascii="Calibri" w:hAnsi="Calibri"/>
                <w:b/>
                <w:color w:val="000000"/>
                <w:sz w:val="18"/>
              </w:rPr>
              <w:t>Cloud Infrastructure</w:t>
            </w:r>
          </w:p>
        </w:tc>
        <w:tc>
          <w:tcPr>
            <w:tcW w:type="dxa" w:w="3384"/>
          </w:tcPr>
          <w:p>
            <w:pPr>
              <w:spacing w:before="60" w:after="60" w:line="252" w:lineRule="auto"/>
              <w:jc w:val="left"/>
            </w:pPr>
            <w:r>
              <w:rPr>
                <w:rFonts w:ascii="Calibri" w:hAnsi="Calibri"/>
                <w:color w:val="000000"/>
                <w:sz w:val="18"/>
              </w:rPr>
              <w:t>Multi-region servers &amp; databases running 24/7</w:t>
            </w:r>
          </w:p>
        </w:tc>
        <w:tc>
          <w:tcPr>
            <w:tcW w:type="dxa" w:w="3384"/>
          </w:tcPr>
          <w:p>
            <w:pPr>
              <w:spacing w:before="60" w:after="60" w:line="252" w:lineRule="auto"/>
              <w:jc w:val="left"/>
            </w:pPr>
            <w:r>
              <w:rPr>
                <w:rFonts w:ascii="Calibri" w:hAnsi="Calibri"/>
                <w:color w:val="000000"/>
                <w:sz w:val="18"/>
              </w:rPr>
              <w:t>Zero servers; 100% client-side operation</w:t>
            </w:r>
          </w:p>
        </w:tc>
      </w:tr>
      <w:tr>
        <w:tc>
          <w:tcPr>
            <w:tcW w:type="dxa" w:w="2592"/>
          </w:tcPr>
          <w:p>
            <w:pPr>
              <w:spacing w:before="60" w:after="60" w:line="252" w:lineRule="auto"/>
              <w:jc w:val="center"/>
            </w:pPr>
            <w:r>
              <w:rPr>
                <w:rFonts w:ascii="Calibri" w:hAnsi="Calibri"/>
                <w:b/>
                <w:color w:val="000000"/>
                <w:sz w:val="18"/>
              </w:rPr>
              <w:t>Data Persistence</w:t>
            </w:r>
          </w:p>
        </w:tc>
        <w:tc>
          <w:tcPr>
            <w:tcW w:type="dxa" w:w="3384"/>
          </w:tcPr>
          <w:p>
            <w:pPr>
              <w:spacing w:before="60" w:after="60" w:line="252" w:lineRule="auto"/>
              <w:jc w:val="left"/>
            </w:pPr>
            <w:r>
              <w:rPr>
                <w:rFonts w:ascii="Calibri" w:hAnsi="Calibri"/>
                <w:color w:val="000000"/>
                <w:sz w:val="18"/>
              </w:rPr>
              <w:t>Continuous remote API synchronization</w:t>
            </w:r>
          </w:p>
        </w:tc>
        <w:tc>
          <w:tcPr>
            <w:tcW w:type="dxa" w:w="3384"/>
          </w:tcPr>
          <w:p>
            <w:pPr>
              <w:spacing w:before="60" w:after="60" w:line="252" w:lineRule="auto"/>
              <w:jc w:val="left"/>
            </w:pPr>
            <w:r>
              <w:rPr>
                <w:rFonts w:ascii="Calibri" w:hAnsi="Calibri"/>
                <w:color w:val="000000"/>
                <w:sz w:val="18"/>
              </w:rPr>
              <w:t>Local IndexedDB within user's browser</w:t>
            </w:r>
          </w:p>
        </w:tc>
      </w:tr>
      <w:tr>
        <w:tc>
          <w:tcPr>
            <w:tcW w:type="dxa" w:w="2592"/>
          </w:tcPr>
          <w:p>
            <w:pPr>
              <w:spacing w:before="60" w:after="60" w:line="252" w:lineRule="auto"/>
              <w:jc w:val="center"/>
            </w:pPr>
            <w:r>
              <w:rPr>
                <w:rFonts w:ascii="Calibri" w:hAnsi="Calibri"/>
                <w:b/>
                <w:color w:val="000000"/>
                <w:sz w:val="18"/>
              </w:rPr>
              <w:t>Audio &amp; Focus Media</w:t>
            </w:r>
          </w:p>
        </w:tc>
        <w:tc>
          <w:tcPr>
            <w:tcW w:type="dxa" w:w="3384"/>
          </w:tcPr>
          <w:p>
            <w:pPr>
              <w:spacing w:before="60" w:after="60" w:line="252" w:lineRule="auto"/>
              <w:jc w:val="left"/>
            </w:pPr>
            <w:r>
              <w:rPr>
                <w:rFonts w:ascii="Calibri" w:hAnsi="Calibri"/>
                <w:color w:val="000000"/>
                <w:sz w:val="18"/>
              </w:rPr>
              <w:t>Streamed media files (50-100 MB per hour)</w:t>
            </w:r>
          </w:p>
        </w:tc>
        <w:tc>
          <w:tcPr>
            <w:tcW w:type="dxa" w:w="3384"/>
          </w:tcPr>
          <w:p>
            <w:pPr>
              <w:spacing w:before="60" w:after="60" w:line="252" w:lineRule="auto"/>
              <w:jc w:val="left"/>
            </w:pPr>
            <w:r>
              <w:rPr>
                <w:rFonts w:ascii="Calibri" w:hAnsi="Calibri"/>
                <w:color w:val="000000"/>
                <w:sz w:val="18"/>
              </w:rPr>
              <w:t>Real-time client-side DSP synthesis (0 bytes)</w:t>
            </w:r>
          </w:p>
        </w:tc>
      </w:tr>
      <w:tr>
        <w:tc>
          <w:tcPr>
            <w:tcW w:type="dxa" w:w="2592"/>
          </w:tcPr>
          <w:p>
            <w:pPr>
              <w:spacing w:before="60" w:after="60" w:line="252" w:lineRule="auto"/>
              <w:jc w:val="center"/>
            </w:pPr>
            <w:r>
              <w:rPr>
                <w:rFonts w:ascii="Calibri" w:hAnsi="Calibri"/>
                <w:b/>
                <w:color w:val="000000"/>
                <w:sz w:val="18"/>
              </w:rPr>
              <w:t>Network Traffic</w:t>
            </w:r>
          </w:p>
        </w:tc>
        <w:tc>
          <w:tcPr>
            <w:tcW w:type="dxa" w:w="3384"/>
          </w:tcPr>
          <w:p>
            <w:pPr>
              <w:spacing w:before="60" w:after="60" w:line="252" w:lineRule="auto"/>
              <w:jc w:val="left"/>
            </w:pPr>
            <w:r>
              <w:rPr>
                <w:rFonts w:ascii="Calibri" w:hAnsi="Calibri"/>
                <w:color w:val="000000"/>
                <w:sz w:val="18"/>
              </w:rPr>
              <w:t>Continuous analytics and database pings</w:t>
            </w:r>
          </w:p>
        </w:tc>
        <w:tc>
          <w:tcPr>
            <w:tcW w:type="dxa" w:w="3384"/>
          </w:tcPr>
          <w:p>
            <w:pPr>
              <w:spacing w:before="60" w:after="60" w:line="252" w:lineRule="auto"/>
              <w:jc w:val="left"/>
            </w:pPr>
            <w:r>
              <w:rPr>
                <w:rFonts w:ascii="Calibri" w:hAnsi="Calibri"/>
                <w:color w:val="000000"/>
                <w:sz w:val="18"/>
              </w:rPr>
              <w:t>Zero bytes transferred after initial static load</w:t>
            </w:r>
          </w:p>
        </w:tc>
      </w:tr>
      <w:tr>
        <w:tc>
          <w:tcPr>
            <w:tcW w:type="dxa" w:w="2592"/>
          </w:tcPr>
          <w:p>
            <w:pPr>
              <w:spacing w:before="60" w:after="60" w:line="252" w:lineRule="auto"/>
              <w:jc w:val="center"/>
            </w:pPr>
            <w:r>
              <w:rPr>
                <w:rFonts w:ascii="Calibri" w:hAnsi="Calibri"/>
                <w:b/>
                <w:color w:val="000000"/>
                <w:sz w:val="18"/>
              </w:rPr>
              <w:t>Idle Energy Usage</w:t>
            </w:r>
          </w:p>
        </w:tc>
        <w:tc>
          <w:tcPr>
            <w:tcW w:type="dxa" w:w="3384"/>
          </w:tcPr>
          <w:p>
            <w:pPr>
              <w:spacing w:before="60" w:after="60" w:line="252" w:lineRule="auto"/>
              <w:jc w:val="left"/>
            </w:pPr>
            <w:r>
              <w:rPr>
                <w:rFonts w:ascii="Calibri" w:hAnsi="Calibri"/>
                <w:color w:val="000000"/>
                <w:sz w:val="18"/>
              </w:rPr>
              <w:t>High; continuous timer polling in background</w:t>
            </w:r>
          </w:p>
        </w:tc>
        <w:tc>
          <w:tcPr>
            <w:tcW w:type="dxa" w:w="3384"/>
          </w:tcPr>
          <w:p>
            <w:pPr>
              <w:spacing w:before="60" w:after="60" w:line="252" w:lineRule="auto"/>
              <w:jc w:val="left"/>
            </w:pPr>
            <w:r>
              <w:rPr>
                <w:rFonts w:ascii="Calibri" w:hAnsi="Calibri"/>
                <w:color w:val="000000"/>
                <w:sz w:val="18"/>
              </w:rPr>
              <w:t>Near-zero; timestamp-based delta calculations</w:t>
            </w:r>
          </w:p>
        </w:tc>
      </w:tr>
      <w:tr>
        <w:tc>
          <w:tcPr>
            <w:tcW w:type="dxa" w:w="2592"/>
          </w:tcPr>
          <w:p>
            <w:pPr>
              <w:spacing w:before="60" w:after="60" w:line="252" w:lineRule="auto"/>
              <w:jc w:val="center"/>
            </w:pPr>
            <w:r>
              <w:rPr>
                <w:rFonts w:ascii="Calibri" w:hAnsi="Calibri"/>
                <w:b/>
                <w:color w:val="000000"/>
                <w:sz w:val="18"/>
              </w:rPr>
              <w:t>Display Power</w:t>
            </w:r>
          </w:p>
        </w:tc>
        <w:tc>
          <w:tcPr>
            <w:tcW w:type="dxa" w:w="3384"/>
          </w:tcPr>
          <w:p>
            <w:pPr>
              <w:spacing w:before="60" w:after="60" w:line="252" w:lineRule="auto"/>
              <w:jc w:val="left"/>
            </w:pPr>
            <w:r>
              <w:rPr>
                <w:rFonts w:ascii="Calibri" w:hAnsi="Calibri"/>
                <w:color w:val="000000"/>
                <w:sz w:val="18"/>
              </w:rPr>
              <w:t>Bright white themes consuming peak display watts</w:t>
            </w:r>
          </w:p>
        </w:tc>
        <w:tc>
          <w:tcPr>
            <w:tcW w:type="dxa" w:w="3384"/>
          </w:tcPr>
          <w:p>
            <w:pPr>
              <w:spacing w:before="60" w:after="60" w:line="252" w:lineRule="auto"/>
              <w:jc w:val="left"/>
            </w:pPr>
            <w:r>
              <w:rPr>
                <w:rFonts w:ascii="Calibri" w:hAnsi="Calibri"/>
                <w:color w:val="000000"/>
                <w:sz w:val="18"/>
              </w:rPr>
              <w:t>True-black OLED theme turning off black pixels</w:t>
            </w:r>
          </w:p>
        </w:tc>
      </w:tr>
      <w:tr>
        <w:tc>
          <w:tcPr>
            <w:tcW w:type="dxa" w:w="2592"/>
          </w:tcPr>
          <w:p>
            <w:pPr>
              <w:spacing w:before="60" w:after="60" w:line="252" w:lineRule="auto"/>
              <w:jc w:val="center"/>
            </w:pPr>
            <w:r>
              <w:rPr>
                <w:rFonts w:ascii="Calibri" w:hAnsi="Calibri"/>
                <w:b/>
                <w:color w:val="000000"/>
                <w:sz w:val="18"/>
              </w:rPr>
              <w:t>Hardware Impact</w:t>
            </w:r>
          </w:p>
        </w:tc>
        <w:tc>
          <w:tcPr>
            <w:tcW w:type="dxa" w:w="3384"/>
          </w:tcPr>
          <w:p>
            <w:pPr>
              <w:spacing w:before="60" w:after="60" w:line="252" w:lineRule="auto"/>
              <w:jc w:val="left"/>
            </w:pPr>
            <w:r>
              <w:rPr>
                <w:rFonts w:ascii="Calibri" w:hAnsi="Calibri"/>
                <w:color w:val="000000"/>
                <w:sz w:val="18"/>
              </w:rPr>
              <w:t>High RAM usage, forcing device upgrades</w:t>
            </w:r>
          </w:p>
        </w:tc>
        <w:tc>
          <w:tcPr>
            <w:tcW w:type="dxa" w:w="3384"/>
          </w:tcPr>
          <w:p>
            <w:pPr>
              <w:spacing w:before="60" w:after="60" w:line="252" w:lineRule="auto"/>
              <w:jc w:val="left"/>
            </w:pPr>
            <w:r>
              <w:rPr>
                <w:rFonts w:ascii="Calibri" w:hAnsi="Calibri"/>
                <w:color w:val="000000"/>
                <w:sz w:val="18"/>
              </w:rPr>
              <w:t>Lightweight (&lt;300 KB), runs on legacy hardware</w:t>
            </w:r>
          </w:p>
        </w:tc>
      </w:tr>
    </w:tbl>
    <w:p>
      <w:pPr>
        <w:keepNext/>
        <w:spacing w:before="280" w:after="80"/>
      </w:pPr>
      <w:r>
        <w:rPr>
          <w:rFonts w:ascii="Calibri" w:hAnsi="Calibri"/>
          <w:b/>
          <w:color w:val="000000"/>
          <w:sz w:val="26"/>
        </w:rPr>
        <w:t>6. Conclusion</w:t>
      </w:r>
    </w:p>
    <w:p>
      <w:pPr>
        <w:spacing w:before="0" w:after="120" w:line="276" w:lineRule="auto"/>
      </w:pPr>
      <w:r>
        <w:rPr>
          <w:rFonts w:ascii="Calibri" w:hAnsi="Calibri"/>
          <w:color w:val="000000"/>
          <w:sz w:val="21"/>
        </w:rPr>
        <w:t>The ProdZ project serves as a functional demonstration of sustainable software engineering. By intentionally eliminating cloud dependencies, adopting client-side procedural synthesis, optimizing CPU idle states, and leveraging OLED display efficiencies, ProdZ demonstrates that digital productivity platforms can deliver rich, responsive, and delightful user experiences without contributing to carbon emissions or digital waste.</w:t>
      </w:r>
    </w:p>
    <w:p>
      <w:pPr>
        <w:spacing w:before="0" w:after="120" w:line="276" w:lineRule="auto"/>
      </w:pPr>
      <w:r>
        <w:rPr>
          <w:rFonts w:ascii="Calibri" w:hAnsi="Calibri"/>
          <w:color w:val="000000"/>
          <w:sz w:val="21"/>
        </w:rPr>
        <w:t>As global energy demand continues to rise, the principles demonstrated in ProdZ—local-first data sovereignty, bandwidth minimization, hardware longevity, and algorithmic energy efficiency—will serve as vital benchmarks for the future of green and sustainable computing.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000000"/>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