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D6F5C"/>
          <w:sz w:val="64"/>
          <w:szCs w:val="64"/>
        </w:rPr>
        <w:t xml:space="preserve">DEEPSYNC</w:t>
      </w:r>
    </w:p>
    <w:p>
      <w:pPr>
        <w:spacing w:before="120"/>
        <w:jc w:val="center"/>
      </w:pPr>
      <w:r>
        <w:rPr>
          <w:color w:val="1C2420"/>
          <w:sz w:val="32"/>
          <w:szCs w:val="32"/>
        </w:rPr>
        <w:t xml:space="preserve">Software Requirements Specification</w:t>
      </w:r>
    </w:p>
    <w:p>
      <w:pPr>
        <w:spacing w:before="300"/>
        <w:jc w:val="center"/>
      </w:pPr>
      <w:r>
        <w:rPr>
          <w:color w:val="6B7078"/>
          <w:sz w:val="24"/>
          <w:szCs w:val="24"/>
        </w:rPr>
        <w:t xml:space="preserve">3D Ocean Data Visualization Platform</w:t>
      </w:r>
    </w:p>
    <w:p>
      <w:pPr>
        <w:spacing w:before="60"/>
        <w:jc w:val="center"/>
      </w:pPr>
      <w:r>
        <w:rPr>
          <w:color w:val="6B7078"/>
          <w:sz w:val="20"/>
          <w:szCs w:val="20"/>
        </w:rPr>
        <w:t xml:space="preserve">Problem Statement PS 26067 · INCOIS</w:t>
      </w:r>
    </w:p>
    <w:p>
      <w:pPr>
        <w:spacing w:before="400"/>
        <w:jc w:val="center"/>
      </w:pPr>
      <w:r>
        <w:rPr>
          <w:color w:val="1C2420"/>
          <w:sz w:val="20"/>
          <w:szCs w:val="20"/>
        </w:rPr>
        <w:t xml:space="preserve">Smart India Hackathon 2025 · Team BLUEGEN_606 (Team ID 64585)</w:t>
      </w:r>
    </w:p>
    <w:p>
      <w:pPr>
        <w:spacing w:before="40"/>
        <w:jc w:val="center"/>
      </w:pPr>
      <w:r>
        <w:rPr>
          <w:i/>
          <w:iCs/>
          <w:color w:val="6B7078"/>
          <w:sz w:val="18"/>
          <w:szCs w:val="18"/>
        </w:rPr>
        <w:t xml:space="preserve">Version 1.0 — Planning-stage specification, no implementation has begun</w:t>
      </w:r>
    </w:p>
    <w:p>
      <w:r>
        <w:br w:type="page"/>
      </w:r>
    </w:p>
    <w:p>
      <w:pPr>
        <w:pStyle w:val="Heading1"/>
        <w:spacing w:after="160" w:before="320"/>
      </w:pPr>
      <w:r>
        <w:t xml:space="preserve">1. Introduction</w:t>
      </w:r>
    </w:p>
    <w:p>
      <w:pPr>
        <w:pStyle w:val="Heading2"/>
        <w:spacing w:after="120" w:before="240"/>
      </w:pPr>
      <w:r>
        <w:t xml:space="preserve">1.1 Purpose</w:t>
      </w:r>
    </w:p>
    <w:p>
      <w:pPr>
        <w:spacing w:after="140"/>
      </w:pPr>
      <w:r>
        <w:t xml:space="preserve">This Software Requirements Specification defines the functional and non-functional requirements for DEEPSYNC, a web-based 3D ocean data visualization platform built for Smart India Hackathon 2025 (Problem Statement PS 26067, issued by INCOIS). It is intended for the development team, evaluators, and any future maintainer of the system.</w:t>
      </w:r>
    </w:p>
    <w:p>
      <w:pPr>
        <w:pStyle w:val="Heading2"/>
        <w:spacing w:after="120" w:before="240"/>
      </w:pPr>
      <w:r>
        <w:t xml:space="preserve">1.2 Scope</w:t>
      </w:r>
    </w:p>
    <w:p>
      <w:pPr>
        <w:spacing w:after="140"/>
      </w:pPr>
      <w:r>
        <w:t xml:space="preserve">DEEPSYNC integrates numerical ocean model output with in-situ instrument observations in a single interactive web application. In scope: 3D volumetric visualization, an 8-type 2D analytical chart suite, a 2D geo-map path viewer, an AI-assisted natural-language query interface, role-gated administrative data management, and OGC/OPeNDAP interoperability. Out of scope for the current planning pass: automated FTP fetching of upstream data (files are downloaded manually for the demo), and any mobile-native application.</w:t>
      </w:r>
    </w:p>
    <w:p>
      <w:pPr>
        <w:pStyle w:val="Heading2"/>
        <w:spacing w:after="120" w:before="240"/>
      </w:pPr>
      <w:r>
        <w:t xml:space="preserve">1.3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D6F5C" w:val="clear"/>
            <w:tcMar>
              <w:top w:type="dxa" w:w="80"/>
              <w:left w:type="dxa" w:w="100"/>
              <w:bottom w:type="dxa" w:w="80"/>
              <w:right w:type="dxa" w:w="100"/>
            </w:tcMar>
          </w:tcPr>
          <w:p>
            <w:r>
              <w:rPr>
                <w:b/>
                <w:bCs/>
                <w:color w:val="FFFFFF"/>
                <w:sz w:val="20"/>
                <w:szCs w:val="20"/>
              </w:rPr>
              <w:t xml:space="preserve">Term</w:t>
            </w:r>
          </w:p>
        </w:tc>
        <w:tc>
          <w:tcPr>
            <w:tcW w:type="dxa" w:w="6750"/>
            <w:shd w:fill="1D6F5C" w:val="clear"/>
            <w:tcMar>
              <w:top w:type="dxa" w:w="80"/>
              <w:left w:type="dxa" w:w="100"/>
              <w:bottom w:type="dxa" w:w="80"/>
              <w:right w:type="dxa" w:w="100"/>
            </w:tcMar>
          </w:tcPr>
          <w:p>
            <w:r>
              <w:rPr>
                <w:b/>
                <w:bCs/>
                <w:color w:val="FFFFFF"/>
                <w:sz w:val="20"/>
                <w:szCs w:val="20"/>
              </w:rPr>
              <w:t xml:space="preserve">Meaning</w:t>
            </w:r>
          </w:p>
        </w:tc>
      </w:tr>
      <w:tr>
        <w:tc>
          <w:tcPr>
            <w:tcW w:type="dxa" w:w="2600"/>
            <w:tcMar>
              <w:top w:type="dxa" w:w="80"/>
              <w:left w:type="dxa" w:w="100"/>
              <w:bottom w:type="dxa" w:w="80"/>
              <w:right w:type="dxa" w:w="100"/>
            </w:tcMar>
          </w:tcPr>
          <w:p>
            <w:r>
              <w:rPr>
                <w:b w:val="false"/>
                <w:bCs w:val="false"/>
                <w:color w:val="000000"/>
                <w:sz w:val="20"/>
                <w:szCs w:val="20"/>
              </w:rPr>
              <w:t xml:space="preserve">PS</w:t>
            </w:r>
          </w:p>
        </w:tc>
        <w:tc>
          <w:tcPr>
            <w:tcW w:type="dxa" w:w="6750"/>
            <w:tcMar>
              <w:top w:type="dxa" w:w="80"/>
              <w:left w:type="dxa" w:w="100"/>
              <w:bottom w:type="dxa" w:w="80"/>
              <w:right w:type="dxa" w:w="100"/>
            </w:tcMar>
          </w:tcPr>
          <w:p>
            <w:r>
              <w:rPr>
                <w:b w:val="false"/>
                <w:bCs w:val="false"/>
                <w:color w:val="000000"/>
                <w:sz w:val="20"/>
                <w:szCs w:val="20"/>
              </w:rPr>
              <w:t xml:space="preserve">Problem Statement</w:t>
            </w:r>
          </w:p>
        </w:tc>
      </w:tr>
      <w:tr>
        <w:tc>
          <w:tcPr>
            <w:tcW w:type="dxa" w:w="2600"/>
            <w:tcMar>
              <w:top w:type="dxa" w:w="80"/>
              <w:left w:type="dxa" w:w="100"/>
              <w:bottom w:type="dxa" w:w="80"/>
              <w:right w:type="dxa" w:w="100"/>
            </w:tcMar>
          </w:tcPr>
          <w:p>
            <w:r>
              <w:rPr>
                <w:b w:val="false"/>
                <w:bCs w:val="false"/>
                <w:color w:val="000000"/>
                <w:sz w:val="20"/>
                <w:szCs w:val="20"/>
              </w:rPr>
              <w:t xml:space="preserve">INCOIS</w:t>
            </w:r>
          </w:p>
        </w:tc>
        <w:tc>
          <w:tcPr>
            <w:tcW w:type="dxa" w:w="6750"/>
            <w:tcMar>
              <w:top w:type="dxa" w:w="80"/>
              <w:left w:type="dxa" w:w="100"/>
              <w:bottom w:type="dxa" w:w="80"/>
              <w:right w:type="dxa" w:w="100"/>
            </w:tcMar>
          </w:tcPr>
          <w:p>
            <w:r>
              <w:rPr>
                <w:b w:val="false"/>
                <w:bCs w:val="false"/>
                <w:color w:val="000000"/>
                <w:sz w:val="20"/>
                <w:szCs w:val="20"/>
              </w:rPr>
              <w:t xml:space="preserve">Indian National Centre for Ocean Information Services</w:t>
            </w:r>
          </w:p>
        </w:tc>
      </w:tr>
      <w:tr>
        <w:tc>
          <w:tcPr>
            <w:tcW w:type="dxa" w:w="2600"/>
            <w:tcMar>
              <w:top w:type="dxa" w:w="80"/>
              <w:left w:type="dxa" w:w="100"/>
              <w:bottom w:type="dxa" w:w="80"/>
              <w:right w:type="dxa" w:w="100"/>
            </w:tcMar>
          </w:tcPr>
          <w:p>
            <w:r>
              <w:rPr>
                <w:b w:val="false"/>
                <w:bCs w:val="false"/>
                <w:color w:val="000000"/>
                <w:sz w:val="20"/>
                <w:szCs w:val="20"/>
              </w:rPr>
              <w:t xml:space="preserve">EEZ</w:t>
            </w:r>
          </w:p>
        </w:tc>
        <w:tc>
          <w:tcPr>
            <w:tcW w:type="dxa" w:w="6750"/>
            <w:tcMar>
              <w:top w:type="dxa" w:w="80"/>
              <w:left w:type="dxa" w:w="100"/>
              <w:bottom w:type="dxa" w:w="80"/>
              <w:right w:type="dxa" w:w="100"/>
            </w:tcMar>
          </w:tcPr>
          <w:p>
            <w:r>
              <w:rPr>
                <w:b w:val="false"/>
                <w:bCs w:val="false"/>
                <w:color w:val="000000"/>
                <w:sz w:val="20"/>
                <w:szCs w:val="20"/>
              </w:rPr>
              <w:t xml:space="preserve">Exclusive Economic Zone</w:t>
            </w:r>
          </w:p>
        </w:tc>
      </w:tr>
      <w:tr>
        <w:tc>
          <w:tcPr>
            <w:tcW w:type="dxa" w:w="2600"/>
            <w:tcMar>
              <w:top w:type="dxa" w:w="80"/>
              <w:left w:type="dxa" w:w="100"/>
              <w:bottom w:type="dxa" w:w="80"/>
              <w:right w:type="dxa" w:w="100"/>
            </w:tcMar>
          </w:tcPr>
          <w:p>
            <w:r>
              <w:rPr>
                <w:b w:val="false"/>
                <w:bCs w:val="false"/>
                <w:color w:val="000000"/>
                <w:sz w:val="20"/>
                <w:szCs w:val="20"/>
              </w:rPr>
              <w:t xml:space="preserve">CF Conventions</w:t>
            </w:r>
          </w:p>
        </w:tc>
        <w:tc>
          <w:tcPr>
            <w:tcW w:type="dxa" w:w="6750"/>
            <w:tcMar>
              <w:top w:type="dxa" w:w="80"/>
              <w:left w:type="dxa" w:w="100"/>
              <w:bottom w:type="dxa" w:w="80"/>
              <w:right w:type="dxa" w:w="100"/>
            </w:tcMar>
          </w:tcPr>
          <w:p>
            <w:r>
              <w:rPr>
                <w:b w:val="false"/>
                <w:bCs w:val="false"/>
                <w:color w:val="000000"/>
                <w:sz w:val="20"/>
                <w:szCs w:val="20"/>
              </w:rPr>
              <w:t xml:space="preserve">Climate and Forecast metadata conventions for NetCDF files</w:t>
            </w:r>
          </w:p>
        </w:tc>
      </w:tr>
      <w:tr>
        <w:tc>
          <w:tcPr>
            <w:tcW w:type="dxa" w:w="2600"/>
            <w:tcMar>
              <w:top w:type="dxa" w:w="80"/>
              <w:left w:type="dxa" w:w="100"/>
              <w:bottom w:type="dxa" w:w="80"/>
              <w:right w:type="dxa" w:w="100"/>
            </w:tcMar>
          </w:tcPr>
          <w:p>
            <w:r>
              <w:rPr>
                <w:b w:val="false"/>
                <w:bCs w:val="false"/>
                <w:color w:val="000000"/>
                <w:sz w:val="20"/>
                <w:szCs w:val="20"/>
              </w:rPr>
              <w:t xml:space="preserve">OGC WMS/WCS</w:t>
            </w:r>
          </w:p>
        </w:tc>
        <w:tc>
          <w:tcPr>
            <w:tcW w:type="dxa" w:w="6750"/>
            <w:tcMar>
              <w:top w:type="dxa" w:w="80"/>
              <w:left w:type="dxa" w:w="100"/>
              <w:bottom w:type="dxa" w:w="80"/>
              <w:right w:type="dxa" w:w="100"/>
            </w:tcMar>
          </w:tcPr>
          <w:p>
            <w:r>
              <w:rPr>
                <w:b w:val="false"/>
                <w:bCs w:val="false"/>
                <w:color w:val="000000"/>
                <w:sz w:val="20"/>
                <w:szCs w:val="20"/>
              </w:rPr>
              <w:t xml:space="preserve">Open Geospatial Consortium Web Map Service / Web Coverage Service</w:t>
            </w:r>
          </w:p>
        </w:tc>
      </w:tr>
      <w:tr>
        <w:tc>
          <w:tcPr>
            <w:tcW w:type="dxa" w:w="2600"/>
            <w:tcMar>
              <w:top w:type="dxa" w:w="80"/>
              <w:left w:type="dxa" w:w="100"/>
              <w:bottom w:type="dxa" w:w="80"/>
              <w:right w:type="dxa" w:w="100"/>
            </w:tcMar>
          </w:tcPr>
          <w:p>
            <w:r>
              <w:rPr>
                <w:b w:val="false"/>
                <w:bCs w:val="false"/>
                <w:color w:val="000000"/>
                <w:sz w:val="20"/>
                <w:szCs w:val="20"/>
              </w:rPr>
              <w:t xml:space="preserve">OPeNDAP</w:t>
            </w:r>
          </w:p>
        </w:tc>
        <w:tc>
          <w:tcPr>
            <w:tcW w:type="dxa" w:w="6750"/>
            <w:tcMar>
              <w:top w:type="dxa" w:w="80"/>
              <w:left w:type="dxa" w:w="100"/>
              <w:bottom w:type="dxa" w:w="80"/>
              <w:right w:type="dxa" w:w="100"/>
            </w:tcMar>
          </w:tcPr>
          <w:p>
            <w:r>
              <w:rPr>
                <w:b w:val="false"/>
                <w:bCs w:val="false"/>
                <w:color w:val="000000"/>
                <w:sz w:val="20"/>
                <w:szCs w:val="20"/>
              </w:rPr>
              <w:t xml:space="preserve">Open-source Project for a Network Data Access Protocol</w:t>
            </w:r>
          </w:p>
        </w:tc>
      </w:tr>
      <w:tr>
        <w:tc>
          <w:tcPr>
            <w:tcW w:type="dxa" w:w="2600"/>
            <w:tcMar>
              <w:top w:type="dxa" w:w="80"/>
              <w:left w:type="dxa" w:w="100"/>
              <w:bottom w:type="dxa" w:w="80"/>
              <w:right w:type="dxa" w:w="100"/>
            </w:tcMar>
          </w:tcPr>
          <w:p>
            <w:r>
              <w:rPr>
                <w:b w:val="false"/>
                <w:bCs w:val="false"/>
                <w:color w:val="000000"/>
                <w:sz w:val="20"/>
                <w:szCs w:val="20"/>
              </w:rPr>
              <w:t xml:space="preserve">MLD</w:t>
            </w:r>
          </w:p>
        </w:tc>
        <w:tc>
          <w:tcPr>
            <w:tcW w:type="dxa" w:w="6750"/>
            <w:tcMar>
              <w:top w:type="dxa" w:w="80"/>
              <w:left w:type="dxa" w:w="100"/>
              <w:bottom w:type="dxa" w:w="80"/>
              <w:right w:type="dxa" w:w="100"/>
            </w:tcMar>
          </w:tcPr>
          <w:p>
            <w:r>
              <w:rPr>
                <w:b w:val="false"/>
                <w:bCs w:val="false"/>
                <w:color w:val="000000"/>
                <w:sz w:val="20"/>
                <w:szCs w:val="20"/>
              </w:rPr>
              <w:t xml:space="preserve">Mixed Layer Depth (a derived oceanographic variable)</w:t>
            </w:r>
          </w:p>
        </w:tc>
      </w:tr>
      <w:tr>
        <w:tc>
          <w:tcPr>
            <w:tcW w:type="dxa" w:w="2600"/>
            <w:tcMar>
              <w:top w:type="dxa" w:w="80"/>
              <w:left w:type="dxa" w:w="100"/>
              <w:bottom w:type="dxa" w:w="80"/>
              <w:right w:type="dxa" w:w="100"/>
            </w:tcMar>
          </w:tcPr>
          <w:p>
            <w:r>
              <w:rPr>
                <w:b w:val="false"/>
                <w:bCs w:val="false"/>
                <w:color w:val="000000"/>
                <w:sz w:val="20"/>
                <w:szCs w:val="20"/>
              </w:rPr>
              <w:t xml:space="preserve">SST / SSS</w:t>
            </w:r>
          </w:p>
        </w:tc>
        <w:tc>
          <w:tcPr>
            <w:tcW w:type="dxa" w:w="6750"/>
            <w:tcMar>
              <w:top w:type="dxa" w:w="80"/>
              <w:left w:type="dxa" w:w="100"/>
              <w:bottom w:type="dxa" w:w="80"/>
              <w:right w:type="dxa" w:w="100"/>
            </w:tcMar>
          </w:tcPr>
          <w:p>
            <w:r>
              <w:rPr>
                <w:b w:val="false"/>
                <w:bCs w:val="false"/>
                <w:color w:val="000000"/>
                <w:sz w:val="20"/>
                <w:szCs w:val="20"/>
              </w:rPr>
              <w:t xml:space="preserve">Sea Surface Temperature / Sea Surface Salinity</w:t>
            </w:r>
          </w:p>
        </w:tc>
      </w:tr>
      <w:tr>
        <w:tc>
          <w:tcPr>
            <w:tcW w:type="dxa" w:w="2600"/>
            <w:tcMar>
              <w:top w:type="dxa" w:w="80"/>
              <w:left w:type="dxa" w:w="100"/>
              <w:bottom w:type="dxa" w:w="80"/>
              <w:right w:type="dxa" w:w="100"/>
            </w:tcMar>
          </w:tcPr>
          <w:p>
            <w:r>
              <w:rPr>
                <w:b w:val="false"/>
                <w:bCs w:val="false"/>
                <w:color w:val="000000"/>
                <w:sz w:val="20"/>
                <w:szCs w:val="20"/>
              </w:rPr>
              <w:t xml:space="preserve">JWT</w:t>
            </w:r>
          </w:p>
        </w:tc>
        <w:tc>
          <w:tcPr>
            <w:tcW w:type="dxa" w:w="6750"/>
            <w:tcMar>
              <w:top w:type="dxa" w:w="80"/>
              <w:left w:type="dxa" w:w="100"/>
              <w:bottom w:type="dxa" w:w="80"/>
              <w:right w:type="dxa" w:w="100"/>
            </w:tcMar>
          </w:tcPr>
          <w:p>
            <w:r>
              <w:rPr>
                <w:b w:val="false"/>
                <w:bCs w:val="false"/>
                <w:color w:val="000000"/>
                <w:sz w:val="20"/>
                <w:szCs w:val="20"/>
              </w:rPr>
              <w:t xml:space="preserve">JSON Web Token</w:t>
            </w:r>
          </w:p>
        </w:tc>
      </w:tr>
      <w:tr>
        <w:tc>
          <w:tcPr>
            <w:tcW w:type="dxa" w:w="2600"/>
            <w:tcMar>
              <w:top w:type="dxa" w:w="80"/>
              <w:left w:type="dxa" w:w="100"/>
              <w:bottom w:type="dxa" w:w="80"/>
              <w:right w:type="dxa" w:w="100"/>
            </w:tcMar>
          </w:tcPr>
          <w:p>
            <w:r>
              <w:rPr>
                <w:b w:val="false"/>
                <w:bCs w:val="false"/>
                <w:color w:val="000000"/>
                <w:sz w:val="20"/>
                <w:szCs w:val="20"/>
              </w:rPr>
              <w:t xml:space="preserve">CRUD</w:t>
            </w:r>
          </w:p>
        </w:tc>
        <w:tc>
          <w:tcPr>
            <w:tcW w:type="dxa" w:w="6750"/>
            <w:tcMar>
              <w:top w:type="dxa" w:w="80"/>
              <w:left w:type="dxa" w:w="100"/>
              <w:bottom w:type="dxa" w:w="80"/>
              <w:right w:type="dxa" w:w="100"/>
            </w:tcMar>
          </w:tcPr>
          <w:p>
            <w:r>
              <w:rPr>
                <w:b w:val="false"/>
                <w:bCs w:val="false"/>
                <w:color w:val="000000"/>
                <w:sz w:val="20"/>
                <w:szCs w:val="20"/>
              </w:rPr>
              <w:t xml:space="preserve">Create, Read, Update, Delete</w:t>
            </w:r>
          </w:p>
        </w:tc>
      </w:tr>
    </w:tbl>
    <w:p>
      <w:pPr>
        <w:pStyle w:val="Heading2"/>
        <w:spacing w:after="120" w:before="240"/>
      </w:pPr>
      <w:r>
        <w:t xml:space="preserve">1.4 References</w:t>
      </w:r>
    </w:p>
    <w:p>
      <w:pPr>
        <w:pStyle w:val="ListParagraph"/>
        <w:numPr>
          <w:ilvl w:val="0"/>
          <w:numId w:val="1"/>
        </w:numPr>
        <w:spacing w:after="60"/>
      </w:pPr>
      <w:r>
        <w:t xml:space="preserve">Problem Statement PS 26067 (Smart India Hackathon 2025, INCOIS).</w:t>
      </w:r>
    </w:p>
    <w:p>
      <w:pPr>
        <w:pStyle w:val="ListParagraph"/>
        <w:numPr>
          <w:ilvl w:val="0"/>
          <w:numId w:val="1"/>
        </w:numPr>
        <w:spacing w:after="60"/>
      </w:pPr>
      <w:r>
        <w:t xml:space="preserve">DEEPSYNC Project Description Document (companion document to this SRS).</w:t>
      </w:r>
    </w:p>
    <w:p>
      <w:pPr>
        <w:pStyle w:val="ListParagraph"/>
        <w:numPr>
          <w:ilvl w:val="0"/>
          <w:numId w:val="1"/>
        </w:numPr>
        <w:spacing w:after="60"/>
      </w:pPr>
      <w:r>
        <w:t xml:space="preserve">CF Conventions for NetCDF (cfconventions.org).</w:t>
      </w:r>
    </w:p>
    <w:p>
      <w:pPr>
        <w:pStyle w:val="ListParagraph"/>
        <w:numPr>
          <w:ilvl w:val="0"/>
          <w:numId w:val="1"/>
        </w:numPr>
        <w:spacing w:after="60"/>
      </w:pPr>
      <w:r>
        <w:t xml:space="preserve">OGC Web Map Service / Web Coverage Service specifications.</w:t>
      </w:r>
    </w:p>
    <w:p>
      <w:r>
        <w:br w:type="page"/>
      </w:r>
    </w:p>
    <w:p>
      <w:pPr>
        <w:pStyle w:val="Heading1"/>
        <w:spacing w:after="160" w:before="320"/>
      </w:pPr>
      <w:r>
        <w:t xml:space="preserve">2. Overall Description</w:t>
      </w:r>
    </w:p>
    <w:p>
      <w:pPr>
        <w:pStyle w:val="Heading2"/>
        <w:spacing w:after="120" w:before="240"/>
      </w:pPr>
      <w:r>
        <w:t xml:space="preserve">2.1 Product Perspective</w:t>
      </w:r>
    </w:p>
    <w:p>
      <w:pPr>
        <w:spacing w:after="140"/>
      </w:pPr>
      <w:r>
        <w:t xml:space="preserve">DEEPSYNC is a new, standalone system. It consumes external data from LAS INCOIS, Copernicus Marine, and the Argo/Glider (Ifremer) archives, and depends on two data-serving sidecars (THREDDS, GeoServer) and one AI sidecar (an external LLM API). It has no dependency on any prior INCOIS software system.</w:t>
      </w:r>
    </w:p>
    <w:p>
      <w:pPr>
        <w:pStyle w:val="Heading2"/>
        <w:spacing w:after="120" w:before="240"/>
      </w:pPr>
      <w:r>
        <w:t xml:space="preserve">2.2 Product Functions</w:t>
      </w:r>
    </w:p>
    <w:p>
      <w:pPr>
        <w:spacing w:after="140"/>
      </w:pPr>
      <w:r>
        <w:t xml:space="preserve">At a high level, the system: renders ocean model and instrument data in 3D; provides depth-profile and correlation-style 2D analytics; plots instrument paths on a 2D map; answers natural-language questions about the data; and lets an administrator ingest new data files and manage hazard advisories. The full functional breakdown is in Section 3.1.</w:t>
      </w:r>
    </w:p>
    <w:p>
      <w:pPr>
        <w:pStyle w:val="Heading2"/>
        <w:spacing w:after="120" w:before="240"/>
      </w:pPr>
      <w: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D6F5C" w:val="clear"/>
            <w:tcMar>
              <w:top w:type="dxa" w:w="80"/>
              <w:left w:type="dxa" w:w="100"/>
              <w:bottom w:type="dxa" w:w="80"/>
              <w:right w:type="dxa" w:w="100"/>
            </w:tcMar>
          </w:tcPr>
          <w:p>
            <w:r>
              <w:rPr>
                <w:b/>
                <w:bCs/>
                <w:color w:val="FFFFFF"/>
                <w:sz w:val="20"/>
                <w:szCs w:val="20"/>
              </w:rPr>
              <w:t xml:space="preserve">Actor</w:t>
            </w:r>
          </w:p>
        </w:tc>
        <w:tc>
          <w:tcPr>
            <w:tcW w:type="dxa" w:w="6950"/>
            <w:shd w:fill="1D6F5C"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Public Visitor</w:t>
            </w:r>
          </w:p>
        </w:tc>
        <w:tc>
          <w:tcPr>
            <w:tcW w:type="dxa" w:w="6950"/>
            <w:tcMar>
              <w:top w:type="dxa" w:w="80"/>
              <w:left w:type="dxa" w:w="100"/>
              <w:bottom w:type="dxa" w:w="80"/>
              <w:right w:type="dxa" w:w="100"/>
            </w:tcMar>
          </w:tcPr>
          <w:p>
            <w:r>
              <w:rPr>
                <w:b w:val="false"/>
                <w:bCs w:val="false"/>
                <w:color w:val="000000"/>
                <w:sz w:val="20"/>
                <w:szCs w:val="20"/>
              </w:rPr>
              <w:t xml:space="preserve">Views Home, Dashboard, Geo Map, and AI Assistant. No account required. Cannot access Data Manager or Profile &amp; Settings.</w:t>
            </w:r>
          </w:p>
        </w:tc>
      </w:tr>
      <w:tr>
        <w:tc>
          <w:tcPr>
            <w:tcW w:type="dxa" w:w="2400"/>
            <w:tcMar>
              <w:top w:type="dxa" w:w="80"/>
              <w:left w:type="dxa" w:w="100"/>
              <w:bottom w:type="dxa" w:w="80"/>
              <w:right w:type="dxa" w:w="100"/>
            </w:tcMar>
          </w:tcPr>
          <w:p>
            <w:r>
              <w:rPr>
                <w:b w:val="false"/>
                <w:bCs w:val="false"/>
                <w:color w:val="000000"/>
                <w:sz w:val="20"/>
                <w:szCs w:val="20"/>
              </w:rPr>
              <w:t xml:space="preserve">Forecaster / Researcher</w:t>
            </w:r>
          </w:p>
        </w:tc>
        <w:tc>
          <w:tcPr>
            <w:tcW w:type="dxa" w:w="6950"/>
            <w:tcMar>
              <w:top w:type="dxa" w:w="80"/>
              <w:left w:type="dxa" w:w="100"/>
              <w:bottom w:type="dxa" w:w="80"/>
              <w:right w:type="dxa" w:w="100"/>
            </w:tcMar>
          </w:tcPr>
          <w:p>
            <w:r>
              <w:rPr>
                <w:b w:val="false"/>
                <w:bCs w:val="false"/>
                <w:color w:val="000000"/>
                <w:sz w:val="20"/>
                <w:szCs w:val="20"/>
              </w:rPr>
              <w:t xml:space="preserve">Same access as Public Visitor; uses Dashboard's analytical suite for operational or research purposes. No distinct account tier from Public Visitor in the current design — see Section 2.3.</w:t>
            </w:r>
          </w:p>
        </w:tc>
      </w:tr>
      <w:tr>
        <w:tc>
          <w:tcPr>
            <w:tcW w:type="dxa" w:w="2400"/>
            <w:tcMar>
              <w:top w:type="dxa" w:w="80"/>
              <w:left w:type="dxa" w:w="100"/>
              <w:bottom w:type="dxa" w:w="80"/>
              <w:right w:type="dxa" w:w="100"/>
            </w:tcMar>
          </w:tcPr>
          <w:p>
            <w:r>
              <w:rPr>
                <w:b w:val="false"/>
                <w:bCs w:val="false"/>
                <w:color w:val="000000"/>
                <w:sz w:val="20"/>
                <w:szCs w:val="20"/>
              </w:rPr>
              <w:t xml:space="preserve">Administrator</w:t>
            </w:r>
          </w:p>
        </w:tc>
        <w:tc>
          <w:tcPr>
            <w:tcW w:type="dxa" w:w="6950"/>
            <w:tcMar>
              <w:top w:type="dxa" w:w="80"/>
              <w:left w:type="dxa" w:w="100"/>
              <w:bottom w:type="dxa" w:w="80"/>
              <w:right w:type="dxa" w:w="100"/>
            </w:tcMar>
          </w:tcPr>
          <w:p>
            <w:r>
              <w:rPr>
                <w:b w:val="false"/>
                <w:bCs w:val="false"/>
                <w:color w:val="000000"/>
                <w:sz w:val="20"/>
                <w:szCs w:val="20"/>
              </w:rPr>
              <w:t xml:space="preserve">Authenticated via JWT after signup + existing-admin approval. Full access to Data Manager (ingestion, user approval) and Profile &amp; Settings (hazard advisories, own account).</w:t>
            </w:r>
          </w:p>
        </w:tc>
      </w:tr>
      <w:tr>
        <w:tc>
          <w:tcPr>
            <w:tcW w:type="dxa" w:w="2400"/>
            <w:tcMar>
              <w:top w:type="dxa" w:w="80"/>
              <w:left w:type="dxa" w:w="100"/>
              <w:bottom w:type="dxa" w:w="80"/>
              <w:right w:type="dxa" w:w="100"/>
            </w:tcMar>
          </w:tcPr>
          <w:p>
            <w:r>
              <w:rPr>
                <w:b w:val="false"/>
                <w:bCs w:val="false"/>
                <w:color w:val="000000"/>
                <w:sz w:val="20"/>
                <w:szCs w:val="20"/>
              </w:rPr>
              <w:t xml:space="preserve">External Systems</w:t>
            </w:r>
          </w:p>
        </w:tc>
        <w:tc>
          <w:tcPr>
            <w:tcW w:type="dxa" w:w="6950"/>
            <w:tcMar>
              <w:top w:type="dxa" w:w="80"/>
              <w:left w:type="dxa" w:w="100"/>
              <w:bottom w:type="dxa" w:w="80"/>
              <w:right w:type="dxa" w:w="100"/>
            </w:tcMar>
          </w:tcPr>
          <w:p>
            <w:r>
              <w:rPr>
                <w:b w:val="false"/>
                <w:bCs w:val="false"/>
                <w:color w:val="000000"/>
                <w:sz w:val="20"/>
                <w:szCs w:val="20"/>
              </w:rPr>
              <w:t xml:space="preserve">LAS INCOIS, Copernicus Marine, Argo Global, and Glider (Ifremer) as upstream data sources; an external LLM API for the AI Assistant; THREDDS and GeoServer as data-serving sidecars.</w:t>
            </w:r>
          </w:p>
        </w:tc>
      </w:tr>
    </w:tbl>
    <w:p>
      <w:pPr>
        <w:spacing w:after="140"/>
      </w:pPr>
      <w:r>
        <w:t xml:space="preserve">Note: the system does not currently distinguish a 'Forecaster' account tier from an anonymous Public Visitor — both reach the same public pages with the same capabilities. This was a deliberate simplification (see design history: authentication was scoped down to gate only the two admin pages) and should be revisited if forecaster-specific features (e.g. saved views) are added later.</w:t>
      </w:r>
    </w:p>
    <w:p>
      <w:pPr>
        <w:pStyle w:val="Heading2"/>
        <w:spacing w:after="120" w:before="240"/>
      </w:pPr>
      <w:r>
        <w:t xml:space="preserve">2.4 Operating Environment</w:t>
      </w:r>
    </w:p>
    <w:p>
      <w:pPr>
        <w:pStyle w:val="ListParagraph"/>
        <w:numPr>
          <w:ilvl w:val="0"/>
          <w:numId w:val="1"/>
        </w:numPr>
        <w:spacing w:after="60"/>
      </w:pPr>
      <w:r>
        <w:t xml:space="preserve">Backend: Spring Boot 3 / Java 17, containerized, deployable on any Docker-capable host.</w:t>
      </w:r>
    </w:p>
    <w:p>
      <w:pPr>
        <w:pStyle w:val="ListParagraph"/>
        <w:numPr>
          <w:ilvl w:val="0"/>
          <w:numId w:val="1"/>
        </w:numPr>
        <w:spacing w:after="60"/>
      </w:pPr>
      <w:r>
        <w:t xml:space="preserve">Frontend: modern evergreen browsers with WebGL support (required for the 3D scene).</w:t>
      </w:r>
    </w:p>
    <w:p>
      <w:pPr>
        <w:pStyle w:val="ListParagraph"/>
        <w:numPr>
          <w:ilvl w:val="0"/>
          <w:numId w:val="1"/>
        </w:numPr>
        <w:spacing w:after="60"/>
      </w:pPr>
      <w:r>
        <w:t xml:space="preserve">Database: PostgreSQL 16.</w:t>
      </w:r>
    </w:p>
    <w:p>
      <w:pPr>
        <w:pStyle w:val="ListParagraph"/>
        <w:numPr>
          <w:ilvl w:val="0"/>
          <w:numId w:val="1"/>
        </w:numPr>
        <w:spacing w:after="60"/>
      </w:pPr>
      <w:r>
        <w:t xml:space="preserve">Sidecars: THREDDS Data Server, GeoServer, both containerized alongside the application.</w:t>
      </w:r>
    </w:p>
    <w:p>
      <w:pPr>
        <w:pStyle w:val="Heading2"/>
        <w:spacing w:after="120" w:before="240"/>
      </w:pPr>
      <w:r>
        <w:t xml:space="preserve">2.5 Design and Implementation Constraints</w:t>
      </w:r>
    </w:p>
    <w:p>
      <w:pPr>
        <w:pStyle w:val="ListParagraph"/>
        <w:numPr>
          <w:ilvl w:val="0"/>
          <w:numId w:val="1"/>
        </w:numPr>
        <w:spacing w:after="60"/>
      </w:pPr>
      <w:r>
        <w:t xml:space="preserve">Argo and Glider source data is fetched manually (FTP) rather than via an automated pipeline, for hackathon scope reasons.</w:t>
      </w:r>
    </w:p>
    <w:p>
      <w:pPr>
        <w:pStyle w:val="ListParagraph"/>
        <w:numPr>
          <w:ilvl w:val="0"/>
          <w:numId w:val="1"/>
        </w:numPr>
        <w:spacing w:after="60"/>
      </w:pPr>
      <w:r>
        <w:t xml:space="preserve">The AI Assistant's LLM must only extract query intent — it must never fabricate a data value; all values returned to the user must trace back to an existing controller/repository call.</w:t>
      </w:r>
    </w:p>
    <w:p>
      <w:pPr>
        <w:pStyle w:val="ListParagraph"/>
        <w:numPr>
          <w:ilvl w:val="0"/>
          <w:numId w:val="1"/>
        </w:numPr>
        <w:spacing w:after="60"/>
      </w:pPr>
      <w:r>
        <w:t xml:space="preserve">All admin-only functionality must be enforced server-side (Spring Security), independent of any client-side route guard.</w:t>
      </w:r>
    </w:p>
    <w:p>
      <w:pPr>
        <w:pStyle w:val="Heading2"/>
        <w:spacing w:after="120" w:before="240"/>
      </w:pPr>
      <w:r>
        <w:t xml:space="preserve">2.6 Assumptions and Dependencies</w:t>
      </w:r>
    </w:p>
    <w:p>
      <w:pPr>
        <w:pStyle w:val="ListParagraph"/>
        <w:numPr>
          <w:ilvl w:val="0"/>
          <w:numId w:val="1"/>
        </w:numPr>
        <w:spacing w:after="60"/>
      </w:pPr>
      <w:r>
        <w:t xml:space="preserve">Upstream data sources (LAS INCOIS, Copernicus Marine) remain available and their NetCDF schema remains compatible with the CF-convention parser.</w:t>
      </w:r>
    </w:p>
    <w:p>
      <w:pPr>
        <w:pStyle w:val="ListParagraph"/>
        <w:numPr>
          <w:ilvl w:val="0"/>
          <w:numId w:val="1"/>
        </w:numPr>
        <w:spacing w:after="60"/>
      </w:pPr>
      <w:r>
        <w:t xml:space="preserve">An external LLM API is reachable from the backend for AI Assistant functionality; if unreachable, the Assistant should degrade to an explicit error rather than a silent failure.</w:t>
      </w:r>
    </w:p>
    <w:p>
      <w:r>
        <w:br w:type="page"/>
      </w:r>
    </w:p>
    <w:p>
      <w:pPr>
        <w:pStyle w:val="Heading1"/>
        <w:spacing w:after="160" w:before="320"/>
      </w:pPr>
      <w:r>
        <w:t xml:space="preserve">3. Specific Requirements</w:t>
      </w:r>
    </w:p>
    <w:p>
      <w:pPr>
        <w:pStyle w:val="Heading2"/>
        <w:spacing w:after="120" w:before="240"/>
      </w:pPr>
      <w:r>
        <w:t xml:space="preserve">3.1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50"/>
      </w:tblGrid>
      <w:tr>
        <w:trPr>
          <w:tblHeader/>
        </w:trPr>
        <w:tc>
          <w:tcPr>
            <w:tcW w:type="dxa" w:w="900"/>
            <w:shd w:fill="1D6F5C" w:val="clear"/>
            <w:tcMar>
              <w:top w:type="dxa" w:w="80"/>
              <w:left w:type="dxa" w:w="100"/>
              <w:bottom w:type="dxa" w:w="80"/>
              <w:right w:type="dxa" w:w="100"/>
            </w:tcMar>
          </w:tcPr>
          <w:p>
            <w:r>
              <w:rPr>
                <w:b/>
                <w:bCs/>
                <w:color w:val="FFFFFF"/>
                <w:sz w:val="20"/>
                <w:szCs w:val="20"/>
              </w:rPr>
              <w:t xml:space="preserve">ID</w:t>
            </w:r>
          </w:p>
        </w:tc>
        <w:tc>
          <w:tcPr>
            <w:tcW w:type="dxa" w:w="2200"/>
            <w:shd w:fill="1D6F5C" w:val="clear"/>
            <w:tcMar>
              <w:top w:type="dxa" w:w="80"/>
              <w:left w:type="dxa" w:w="100"/>
              <w:bottom w:type="dxa" w:w="80"/>
              <w:right w:type="dxa" w:w="100"/>
            </w:tcMar>
          </w:tcPr>
          <w:p>
            <w:r>
              <w:rPr>
                <w:b/>
                <w:bCs/>
                <w:color w:val="FFFFFF"/>
                <w:sz w:val="20"/>
                <w:szCs w:val="20"/>
              </w:rPr>
              <w:t xml:space="preserve">Title</w:t>
            </w:r>
          </w:p>
        </w:tc>
        <w:tc>
          <w:tcPr>
            <w:tcW w:type="dxa" w:w="6250"/>
            <w:shd w:fill="1D6F5C" w:val="clear"/>
            <w:tcMar>
              <w:top w:type="dxa" w:w="80"/>
              <w:left w:type="dxa" w:w="100"/>
              <w:bottom w:type="dxa" w:w="80"/>
              <w:right w:type="dxa" w:w="100"/>
            </w:tcMar>
          </w:tcPr>
          <w:p>
            <w:r>
              <w:rPr>
                <w:b/>
                <w:bCs/>
                <w:color w:val="FFFFFF"/>
                <w:sz w:val="20"/>
                <w:szCs w:val="20"/>
              </w:rPr>
              <w:t xml:space="preserve">Requirement</w:t>
            </w:r>
          </w:p>
        </w:tc>
      </w:tr>
      <w:tr>
        <w:tc>
          <w:tcPr>
            <w:tcW w:type="dxa" w:w="900"/>
            <w:tcMar>
              <w:top w:type="dxa" w:w="80"/>
              <w:left w:type="dxa" w:w="100"/>
              <w:bottom w:type="dxa" w:w="80"/>
              <w:right w:type="dxa" w:w="100"/>
            </w:tcMar>
          </w:tcPr>
          <w:p>
            <w:r>
              <w:rPr>
                <w:b w:val="false"/>
                <w:bCs w:val="false"/>
                <w:color w:val="000000"/>
                <w:sz w:val="20"/>
                <w:szCs w:val="20"/>
              </w:rPr>
              <w:t xml:space="preserve">FR-1</w:t>
            </w:r>
          </w:p>
        </w:tc>
        <w:tc>
          <w:tcPr>
            <w:tcW w:type="dxa" w:w="2200"/>
            <w:tcMar>
              <w:top w:type="dxa" w:w="80"/>
              <w:left w:type="dxa" w:w="100"/>
              <w:bottom w:type="dxa" w:w="80"/>
              <w:right w:type="dxa" w:w="100"/>
            </w:tcMar>
          </w:tcPr>
          <w:p>
            <w:r>
              <w:rPr>
                <w:b w:val="false"/>
                <w:bCs w:val="false"/>
                <w:color w:val="000000"/>
                <w:sz w:val="20"/>
                <w:szCs w:val="20"/>
              </w:rPr>
              <w:t xml:space="preserve">3D Volumetric Rendering</w:t>
            </w:r>
          </w:p>
        </w:tc>
        <w:tc>
          <w:tcPr>
            <w:tcW w:type="dxa" w:w="6250"/>
            <w:tcMar>
              <w:top w:type="dxa" w:w="80"/>
              <w:left w:type="dxa" w:w="100"/>
              <w:bottom w:type="dxa" w:w="80"/>
              <w:right w:type="dxa" w:w="100"/>
            </w:tcMar>
          </w:tcPr>
          <w:p>
            <w:r>
              <w:rPr>
                <w:b w:val="false"/>
                <w:bCs w:val="false"/>
                <w:color w:val="000000"/>
                <w:sz w:val="20"/>
                <w:szCs w:val="20"/>
              </w:rPr>
              <w:t xml:space="preserve">The system shall render live ocean model grid data (temperature, salinity, current, chlorophyll) as an interactive WebGL 3D scene with orbit, zoom, and pan controls.</w:t>
            </w:r>
          </w:p>
        </w:tc>
      </w:tr>
      <w:tr>
        <w:tc>
          <w:tcPr>
            <w:tcW w:type="dxa" w:w="900"/>
            <w:tcMar>
              <w:top w:type="dxa" w:w="80"/>
              <w:left w:type="dxa" w:w="100"/>
              <w:bottom w:type="dxa" w:w="80"/>
              <w:right w:type="dxa" w:w="100"/>
            </w:tcMar>
          </w:tcPr>
          <w:p>
            <w:r>
              <w:rPr>
                <w:b w:val="false"/>
                <w:bCs w:val="false"/>
                <w:color w:val="000000"/>
                <w:sz w:val="20"/>
                <w:szCs w:val="20"/>
              </w:rPr>
              <w:t xml:space="preserve">FR-2</w:t>
            </w:r>
          </w:p>
        </w:tc>
        <w:tc>
          <w:tcPr>
            <w:tcW w:type="dxa" w:w="2200"/>
            <w:tcMar>
              <w:top w:type="dxa" w:w="80"/>
              <w:left w:type="dxa" w:w="100"/>
              <w:bottom w:type="dxa" w:w="80"/>
              <w:right w:type="dxa" w:w="100"/>
            </w:tcMar>
          </w:tcPr>
          <w:p>
            <w:r>
              <w:rPr>
                <w:b w:val="false"/>
                <w:bCs w:val="false"/>
                <w:color w:val="000000"/>
                <w:sz w:val="20"/>
                <w:szCs w:val="20"/>
              </w:rPr>
              <w:t xml:space="preserve">Isosurface Extraction</w:t>
            </w:r>
          </w:p>
        </w:tc>
        <w:tc>
          <w:tcPr>
            <w:tcW w:type="dxa" w:w="6250"/>
            <w:tcMar>
              <w:top w:type="dxa" w:w="80"/>
              <w:left w:type="dxa" w:w="100"/>
              <w:bottom w:type="dxa" w:w="80"/>
              <w:right w:type="dxa" w:w="100"/>
            </w:tcMar>
          </w:tcPr>
          <w:p>
            <w:r>
              <w:rPr>
                <w:b w:val="false"/>
                <w:bCs w:val="false"/>
                <w:color w:val="000000"/>
                <w:sz w:val="20"/>
                <w:szCs w:val="20"/>
              </w:rPr>
              <w:t xml:space="preserve">The system shall compute and display an isosurface for the active variable at a user-selected threshold.</w:t>
            </w:r>
          </w:p>
        </w:tc>
      </w:tr>
      <w:tr>
        <w:tc>
          <w:tcPr>
            <w:tcW w:type="dxa" w:w="900"/>
            <w:tcMar>
              <w:top w:type="dxa" w:w="80"/>
              <w:left w:type="dxa" w:w="100"/>
              <w:bottom w:type="dxa" w:w="80"/>
              <w:right w:type="dxa" w:w="100"/>
            </w:tcMar>
          </w:tcPr>
          <w:p>
            <w:r>
              <w:rPr>
                <w:b w:val="false"/>
                <w:bCs w:val="false"/>
                <w:color w:val="000000"/>
                <w:sz w:val="20"/>
                <w:szCs w:val="20"/>
              </w:rPr>
              <w:t xml:space="preserve">FR-3</w:t>
            </w:r>
          </w:p>
        </w:tc>
        <w:tc>
          <w:tcPr>
            <w:tcW w:type="dxa" w:w="2200"/>
            <w:tcMar>
              <w:top w:type="dxa" w:w="80"/>
              <w:left w:type="dxa" w:w="100"/>
              <w:bottom w:type="dxa" w:w="80"/>
              <w:right w:type="dxa" w:w="100"/>
            </w:tcMar>
          </w:tcPr>
          <w:p>
            <w:r>
              <w:rPr>
                <w:b w:val="false"/>
                <w:bCs w:val="false"/>
                <w:color w:val="000000"/>
                <w:sz w:val="20"/>
                <w:szCs w:val="20"/>
              </w:rPr>
              <w:t xml:space="preserve">Volumetric Shading</w:t>
            </w:r>
          </w:p>
        </w:tc>
        <w:tc>
          <w:tcPr>
            <w:tcW w:type="dxa" w:w="6250"/>
            <w:tcMar>
              <w:top w:type="dxa" w:w="80"/>
              <w:left w:type="dxa" w:w="100"/>
              <w:bottom w:type="dxa" w:w="80"/>
              <w:right w:type="dxa" w:w="100"/>
            </w:tcMar>
          </w:tcPr>
          <w:p>
            <w:r>
              <w:rPr>
                <w:b w:val="false"/>
                <w:bCs w:val="false"/>
                <w:color w:val="000000"/>
                <w:sz w:val="20"/>
                <w:szCs w:val="20"/>
              </w:rPr>
              <w:t xml:space="preserve">The system shall provide a ray-marched volumetric rendering mode as an alternative to point-cloud rendering.</w:t>
            </w:r>
          </w:p>
        </w:tc>
      </w:tr>
      <w:tr>
        <w:tc>
          <w:tcPr>
            <w:tcW w:type="dxa" w:w="900"/>
            <w:tcMar>
              <w:top w:type="dxa" w:w="80"/>
              <w:left w:type="dxa" w:w="100"/>
              <w:bottom w:type="dxa" w:w="80"/>
              <w:right w:type="dxa" w:w="100"/>
            </w:tcMar>
          </w:tcPr>
          <w:p>
            <w:r>
              <w:rPr>
                <w:b w:val="false"/>
                <w:bCs w:val="false"/>
                <w:color w:val="000000"/>
                <w:sz w:val="20"/>
                <w:szCs w:val="20"/>
              </w:rPr>
              <w:t xml:space="preserve">FR-4</w:t>
            </w:r>
          </w:p>
        </w:tc>
        <w:tc>
          <w:tcPr>
            <w:tcW w:type="dxa" w:w="2200"/>
            <w:tcMar>
              <w:top w:type="dxa" w:w="80"/>
              <w:left w:type="dxa" w:w="100"/>
              <w:bottom w:type="dxa" w:w="80"/>
              <w:right w:type="dxa" w:w="100"/>
            </w:tcMar>
          </w:tcPr>
          <w:p>
            <w:r>
              <w:rPr>
                <w:b w:val="false"/>
                <w:bCs w:val="false"/>
                <w:color w:val="000000"/>
                <w:sz w:val="20"/>
                <w:szCs w:val="20"/>
              </w:rPr>
              <w:t xml:space="preserve">Depth-Slice &amp; Time Control</w:t>
            </w:r>
          </w:p>
        </w:tc>
        <w:tc>
          <w:tcPr>
            <w:tcW w:type="dxa" w:w="6250"/>
            <w:tcMar>
              <w:top w:type="dxa" w:w="80"/>
              <w:left w:type="dxa" w:w="100"/>
              <w:bottom w:type="dxa" w:w="80"/>
              <w:right w:type="dxa" w:w="100"/>
            </w:tcMar>
          </w:tcPr>
          <w:p>
            <w:r>
              <w:rPr>
                <w:b w:val="false"/>
                <w:bCs w:val="false"/>
                <w:color w:val="000000"/>
                <w:sz w:val="20"/>
                <w:szCs w:val="20"/>
              </w:rPr>
              <w:t xml:space="preserve">The system shall allow filtering the 3D scene to a single depth level or the full water column, and shall provide a time slider with play/pause animation across available model timestamps.</w:t>
            </w:r>
          </w:p>
        </w:tc>
      </w:tr>
      <w:tr>
        <w:tc>
          <w:tcPr>
            <w:tcW w:type="dxa" w:w="900"/>
            <w:tcMar>
              <w:top w:type="dxa" w:w="80"/>
              <w:left w:type="dxa" w:w="100"/>
              <w:bottom w:type="dxa" w:w="80"/>
              <w:right w:type="dxa" w:w="100"/>
            </w:tcMar>
          </w:tcPr>
          <w:p>
            <w:r>
              <w:rPr>
                <w:b w:val="false"/>
                <w:bCs w:val="false"/>
                <w:color w:val="000000"/>
                <w:sz w:val="20"/>
                <w:szCs w:val="20"/>
              </w:rPr>
              <w:t xml:space="preserve">FR-5</w:t>
            </w:r>
          </w:p>
        </w:tc>
        <w:tc>
          <w:tcPr>
            <w:tcW w:type="dxa" w:w="2200"/>
            <w:tcMar>
              <w:top w:type="dxa" w:w="80"/>
              <w:left w:type="dxa" w:w="100"/>
              <w:bottom w:type="dxa" w:w="80"/>
              <w:right w:type="dxa" w:w="100"/>
            </w:tcMar>
          </w:tcPr>
          <w:p>
            <w:r>
              <w:rPr>
                <w:b w:val="false"/>
                <w:bCs w:val="false"/>
                <w:color w:val="000000"/>
                <w:sz w:val="20"/>
                <w:szCs w:val="20"/>
              </w:rPr>
              <w:t xml:space="preserve">Instrument Overlay</w:t>
            </w:r>
          </w:p>
        </w:tc>
        <w:tc>
          <w:tcPr>
            <w:tcW w:type="dxa" w:w="6250"/>
            <w:tcMar>
              <w:top w:type="dxa" w:w="80"/>
              <w:left w:type="dxa" w:w="100"/>
              <w:bottom w:type="dxa" w:w="80"/>
              <w:right w:type="dxa" w:w="100"/>
            </w:tcMar>
          </w:tcPr>
          <w:p>
            <w:r>
              <w:rPr>
                <w:b w:val="false"/>
                <w:bCs w:val="false"/>
                <w:color w:val="000000"/>
                <w:sz w:val="20"/>
                <w:szCs w:val="20"/>
              </w:rPr>
              <w:t xml:space="preserve">The system shall display Argo float, Glider, CTD, and BGC instrument positions on the 3D scene and 2D Geo Map, and shall open a detail view showing that instrument's data when clicked.</w:t>
            </w:r>
          </w:p>
        </w:tc>
      </w:tr>
      <w:tr>
        <w:tc>
          <w:tcPr>
            <w:tcW w:type="dxa" w:w="900"/>
            <w:tcMar>
              <w:top w:type="dxa" w:w="80"/>
              <w:left w:type="dxa" w:w="100"/>
              <w:bottom w:type="dxa" w:w="80"/>
              <w:right w:type="dxa" w:w="100"/>
            </w:tcMar>
          </w:tcPr>
          <w:p>
            <w:r>
              <w:rPr>
                <w:b w:val="false"/>
                <w:bCs w:val="false"/>
                <w:color w:val="000000"/>
                <w:sz w:val="20"/>
                <w:szCs w:val="20"/>
              </w:rPr>
              <w:t xml:space="preserve">FR-6</w:t>
            </w:r>
          </w:p>
        </w:tc>
        <w:tc>
          <w:tcPr>
            <w:tcW w:type="dxa" w:w="2200"/>
            <w:tcMar>
              <w:top w:type="dxa" w:w="80"/>
              <w:left w:type="dxa" w:w="100"/>
              <w:bottom w:type="dxa" w:w="80"/>
              <w:right w:type="dxa" w:w="100"/>
            </w:tcMar>
          </w:tcPr>
          <w:p>
            <w:r>
              <w:rPr>
                <w:b w:val="false"/>
                <w:bCs w:val="false"/>
                <w:color w:val="000000"/>
                <w:sz w:val="20"/>
                <w:szCs w:val="20"/>
              </w:rPr>
              <w:t xml:space="preserve">Trajectory &amp; Path Rendering</w:t>
            </w:r>
          </w:p>
        </w:tc>
        <w:tc>
          <w:tcPr>
            <w:tcW w:type="dxa" w:w="6250"/>
            <w:tcMar>
              <w:top w:type="dxa" w:w="80"/>
              <w:left w:type="dxa" w:w="100"/>
              <w:bottom w:type="dxa" w:w="80"/>
              <w:right w:type="dxa" w:w="100"/>
            </w:tcMar>
          </w:tcPr>
          <w:p>
            <w:r>
              <w:rPr>
                <w:b w:val="false"/>
                <w:bCs w:val="false"/>
                <w:color w:val="000000"/>
                <w:sz w:val="20"/>
                <w:szCs w:val="20"/>
              </w:rPr>
              <w:t xml:space="preserve">The system shall render each instrument's historical position history as a connected path, in both the 3D scene and the 2D Geo Map.</w:t>
            </w:r>
          </w:p>
        </w:tc>
      </w:tr>
      <w:tr>
        <w:tc>
          <w:tcPr>
            <w:tcW w:type="dxa" w:w="900"/>
            <w:tcMar>
              <w:top w:type="dxa" w:w="80"/>
              <w:left w:type="dxa" w:w="100"/>
              <w:bottom w:type="dxa" w:w="80"/>
              <w:right w:type="dxa" w:w="100"/>
            </w:tcMar>
          </w:tcPr>
          <w:p>
            <w:r>
              <w:rPr>
                <w:b w:val="false"/>
                <w:bCs w:val="false"/>
                <w:color w:val="000000"/>
                <w:sz w:val="20"/>
                <w:szCs w:val="20"/>
              </w:rPr>
              <w:t xml:space="preserve">FR-7</w:t>
            </w:r>
          </w:p>
        </w:tc>
        <w:tc>
          <w:tcPr>
            <w:tcW w:type="dxa" w:w="2200"/>
            <w:tcMar>
              <w:top w:type="dxa" w:w="80"/>
              <w:left w:type="dxa" w:w="100"/>
              <w:bottom w:type="dxa" w:w="80"/>
              <w:right w:type="dxa" w:w="100"/>
            </w:tcMar>
          </w:tcPr>
          <w:p>
            <w:r>
              <w:rPr>
                <w:b w:val="false"/>
                <w:bCs w:val="false"/>
                <w:color w:val="000000"/>
                <w:sz w:val="20"/>
                <w:szCs w:val="20"/>
              </w:rPr>
              <w:t xml:space="preserve">Point Query</w:t>
            </w:r>
          </w:p>
        </w:tc>
        <w:tc>
          <w:tcPr>
            <w:tcW w:type="dxa" w:w="6250"/>
            <w:tcMar>
              <w:top w:type="dxa" w:w="80"/>
              <w:left w:type="dxa" w:w="100"/>
              <w:bottom w:type="dxa" w:w="80"/>
              <w:right w:type="dxa" w:w="100"/>
            </w:tcMar>
          </w:tcPr>
          <w:p>
            <w:r>
              <w:rPr>
                <w:b w:val="false"/>
                <w:bCs w:val="false"/>
                <w:color w:val="000000"/>
                <w:sz w:val="20"/>
                <w:szCs w:val="20"/>
              </w:rPr>
              <w:t xml:space="preserve">The system shall allow a user to click any location in open water and receive an interpolated model value at that point, depth, and time.</w:t>
            </w:r>
          </w:p>
        </w:tc>
      </w:tr>
      <w:tr>
        <w:tc>
          <w:tcPr>
            <w:tcW w:type="dxa" w:w="900"/>
            <w:tcMar>
              <w:top w:type="dxa" w:w="80"/>
              <w:left w:type="dxa" w:w="100"/>
              <w:bottom w:type="dxa" w:w="80"/>
              <w:right w:type="dxa" w:w="100"/>
            </w:tcMar>
          </w:tcPr>
          <w:p>
            <w:r>
              <w:rPr>
                <w:b w:val="false"/>
                <w:bCs w:val="false"/>
                <w:color w:val="000000"/>
                <w:sz w:val="20"/>
                <w:szCs w:val="20"/>
              </w:rPr>
              <w:t xml:space="preserve">FR-8</w:t>
            </w:r>
          </w:p>
        </w:tc>
        <w:tc>
          <w:tcPr>
            <w:tcW w:type="dxa" w:w="2200"/>
            <w:tcMar>
              <w:top w:type="dxa" w:w="80"/>
              <w:left w:type="dxa" w:w="100"/>
              <w:bottom w:type="dxa" w:w="80"/>
              <w:right w:type="dxa" w:w="100"/>
            </w:tcMar>
          </w:tcPr>
          <w:p>
            <w:r>
              <w:rPr>
                <w:b w:val="false"/>
                <w:bCs w:val="false"/>
                <w:color w:val="000000"/>
                <w:sz w:val="20"/>
                <w:szCs w:val="20"/>
              </w:rPr>
              <w:t xml:space="preserve">Data Ingestion</w:t>
            </w:r>
          </w:p>
        </w:tc>
        <w:tc>
          <w:tcPr>
            <w:tcW w:type="dxa" w:w="6250"/>
            <w:tcMar>
              <w:top w:type="dxa" w:w="80"/>
              <w:left w:type="dxa" w:w="100"/>
              <w:bottom w:type="dxa" w:w="80"/>
              <w:right w:type="dxa" w:w="100"/>
            </w:tcMar>
          </w:tcPr>
          <w:p>
            <w:r>
              <w:rPr>
                <w:b w:val="false"/>
                <w:bCs w:val="false"/>
                <w:color w:val="000000"/>
                <w:sz w:val="20"/>
                <w:szCs w:val="20"/>
              </w:rPr>
              <w:t xml:space="preserve">The system shall accept NetCDF and delimited ASCII file uploads from an authenticated administrator, validate CF-convention compliance where applicable, and parse them via a registered, pluggable parser.</w:t>
            </w:r>
          </w:p>
        </w:tc>
      </w:tr>
      <w:tr>
        <w:tc>
          <w:tcPr>
            <w:tcW w:type="dxa" w:w="900"/>
            <w:tcMar>
              <w:top w:type="dxa" w:w="80"/>
              <w:left w:type="dxa" w:w="100"/>
              <w:bottom w:type="dxa" w:w="80"/>
              <w:right w:type="dxa" w:w="100"/>
            </w:tcMar>
          </w:tcPr>
          <w:p>
            <w:r>
              <w:rPr>
                <w:b w:val="false"/>
                <w:bCs w:val="false"/>
                <w:color w:val="000000"/>
                <w:sz w:val="20"/>
                <w:szCs w:val="20"/>
              </w:rPr>
              <w:t xml:space="preserve">FR-9</w:t>
            </w:r>
          </w:p>
        </w:tc>
        <w:tc>
          <w:tcPr>
            <w:tcW w:type="dxa" w:w="2200"/>
            <w:tcMar>
              <w:top w:type="dxa" w:w="80"/>
              <w:left w:type="dxa" w:w="100"/>
              <w:bottom w:type="dxa" w:w="80"/>
              <w:right w:type="dxa" w:w="100"/>
            </w:tcMar>
          </w:tcPr>
          <w:p>
            <w:r>
              <w:rPr>
                <w:b w:val="false"/>
                <w:bCs w:val="false"/>
                <w:color w:val="000000"/>
                <w:sz w:val="20"/>
                <w:szCs w:val="20"/>
              </w:rPr>
              <w:t xml:space="preserve">Extensible Parser Registry</w:t>
            </w:r>
          </w:p>
        </w:tc>
        <w:tc>
          <w:tcPr>
            <w:tcW w:type="dxa" w:w="6250"/>
            <w:tcMar>
              <w:top w:type="dxa" w:w="80"/>
              <w:left w:type="dxa" w:w="100"/>
              <w:bottom w:type="dxa" w:w="80"/>
              <w:right w:type="dxa" w:w="100"/>
            </w:tcMar>
          </w:tcPr>
          <w:p>
            <w:r>
              <w:rPr>
                <w:b w:val="false"/>
                <w:bCs w:val="false"/>
                <w:color w:val="000000"/>
                <w:sz w:val="20"/>
                <w:szCs w:val="20"/>
              </w:rPr>
              <w:t xml:space="preserve">The system shall allow a new data-format parser to be added by implementing a defined interface, without modifying existing parsers or controllers.</w:t>
            </w:r>
          </w:p>
        </w:tc>
      </w:tr>
      <w:tr>
        <w:tc>
          <w:tcPr>
            <w:tcW w:type="dxa" w:w="900"/>
            <w:tcMar>
              <w:top w:type="dxa" w:w="80"/>
              <w:left w:type="dxa" w:w="100"/>
              <w:bottom w:type="dxa" w:w="80"/>
              <w:right w:type="dxa" w:w="100"/>
            </w:tcMar>
          </w:tcPr>
          <w:p>
            <w:r>
              <w:rPr>
                <w:b w:val="false"/>
                <w:bCs w:val="false"/>
                <w:color w:val="000000"/>
                <w:sz w:val="20"/>
                <w:szCs w:val="20"/>
              </w:rPr>
              <w:t xml:space="preserve">FR-10</w:t>
            </w:r>
          </w:p>
        </w:tc>
        <w:tc>
          <w:tcPr>
            <w:tcW w:type="dxa" w:w="2200"/>
            <w:tcMar>
              <w:top w:type="dxa" w:w="80"/>
              <w:left w:type="dxa" w:w="100"/>
              <w:bottom w:type="dxa" w:w="80"/>
              <w:right w:type="dxa" w:w="100"/>
            </w:tcMar>
          </w:tcPr>
          <w:p>
            <w:r>
              <w:rPr>
                <w:b w:val="false"/>
                <w:bCs w:val="false"/>
                <w:color w:val="000000"/>
                <w:sz w:val="20"/>
                <w:szCs w:val="20"/>
              </w:rPr>
              <w:t xml:space="preserve">2D Analytical Charts</w:t>
            </w:r>
          </w:p>
        </w:tc>
        <w:tc>
          <w:tcPr>
            <w:tcW w:type="dxa" w:w="6250"/>
            <w:tcMar>
              <w:top w:type="dxa" w:w="80"/>
              <w:left w:type="dxa" w:w="100"/>
              <w:bottom w:type="dxa" w:w="80"/>
              <w:right w:type="dxa" w:w="100"/>
            </w:tcMar>
          </w:tcPr>
          <w:p>
            <w:r>
              <w:rPr>
                <w:b w:val="false"/>
                <w:bCs w:val="false"/>
                <w:color w:val="000000"/>
                <w:sz w:val="20"/>
                <w:szCs w:val="20"/>
              </w:rPr>
              <w:t xml:space="preserve">The system shall provide eight selectable chart types — Depth Profile, Correlation, T-S Diagram, Distribution, Time Series, Hovmöller, Along-track Section, and Current Rose — for the data of a selected instrument or grid region.</w:t>
            </w:r>
          </w:p>
        </w:tc>
      </w:tr>
      <w:tr>
        <w:tc>
          <w:tcPr>
            <w:tcW w:type="dxa" w:w="900"/>
            <w:tcMar>
              <w:top w:type="dxa" w:w="80"/>
              <w:left w:type="dxa" w:w="100"/>
              <w:bottom w:type="dxa" w:w="80"/>
              <w:right w:type="dxa" w:w="100"/>
            </w:tcMar>
          </w:tcPr>
          <w:p>
            <w:r>
              <w:rPr>
                <w:b w:val="false"/>
                <w:bCs w:val="false"/>
                <w:color w:val="000000"/>
                <w:sz w:val="20"/>
                <w:szCs w:val="20"/>
              </w:rPr>
              <w:t xml:space="preserve">FR-11</w:t>
            </w:r>
          </w:p>
        </w:tc>
        <w:tc>
          <w:tcPr>
            <w:tcW w:type="dxa" w:w="2200"/>
            <w:tcMar>
              <w:top w:type="dxa" w:w="80"/>
              <w:left w:type="dxa" w:w="100"/>
              <w:bottom w:type="dxa" w:w="80"/>
              <w:right w:type="dxa" w:w="100"/>
            </w:tcMar>
          </w:tcPr>
          <w:p>
            <w:r>
              <w:rPr>
                <w:b w:val="false"/>
                <w:bCs w:val="false"/>
                <w:color w:val="000000"/>
                <w:sz w:val="20"/>
                <w:szCs w:val="20"/>
              </w:rPr>
              <w:t xml:space="preserve">Derived Variables</w:t>
            </w:r>
          </w:p>
        </w:tc>
        <w:tc>
          <w:tcPr>
            <w:tcW w:type="dxa" w:w="6250"/>
            <w:tcMar>
              <w:top w:type="dxa" w:w="80"/>
              <w:left w:type="dxa" w:w="100"/>
              <w:bottom w:type="dxa" w:w="80"/>
              <w:right w:type="dxa" w:w="100"/>
            </w:tcMar>
          </w:tcPr>
          <w:p>
            <w:r>
              <w:rPr>
                <w:b w:val="false"/>
                <w:bCs w:val="false"/>
                <w:color w:val="000000"/>
                <w:sz w:val="20"/>
                <w:szCs w:val="20"/>
              </w:rPr>
              <w:t xml:space="preserve">The system shall compute Mixed Layer Depth (MLD) from a float's temperature profile without requiring it as raw ingested data.</w:t>
            </w:r>
          </w:p>
        </w:tc>
      </w:tr>
      <w:tr>
        <w:tc>
          <w:tcPr>
            <w:tcW w:type="dxa" w:w="900"/>
            <w:tcMar>
              <w:top w:type="dxa" w:w="80"/>
              <w:left w:type="dxa" w:w="100"/>
              <w:bottom w:type="dxa" w:w="80"/>
              <w:right w:type="dxa" w:w="100"/>
            </w:tcMar>
          </w:tcPr>
          <w:p>
            <w:r>
              <w:rPr>
                <w:b w:val="false"/>
                <w:bCs w:val="false"/>
                <w:color w:val="000000"/>
                <w:sz w:val="20"/>
                <w:szCs w:val="20"/>
              </w:rPr>
              <w:t xml:space="preserve">FR-12</w:t>
            </w:r>
          </w:p>
        </w:tc>
        <w:tc>
          <w:tcPr>
            <w:tcW w:type="dxa" w:w="2200"/>
            <w:tcMar>
              <w:top w:type="dxa" w:w="80"/>
              <w:left w:type="dxa" w:w="100"/>
              <w:bottom w:type="dxa" w:w="80"/>
              <w:right w:type="dxa" w:w="100"/>
            </w:tcMar>
          </w:tcPr>
          <w:p>
            <w:r>
              <w:rPr>
                <w:b w:val="false"/>
                <w:bCs w:val="false"/>
                <w:color w:val="000000"/>
                <w:sz w:val="20"/>
                <w:szCs w:val="20"/>
              </w:rPr>
              <w:t xml:space="preserve">Hazard Advisories</w:t>
            </w:r>
          </w:p>
        </w:tc>
        <w:tc>
          <w:tcPr>
            <w:tcW w:type="dxa" w:w="6250"/>
            <w:tcMar>
              <w:top w:type="dxa" w:w="80"/>
              <w:left w:type="dxa" w:w="100"/>
              <w:bottom w:type="dxa" w:w="80"/>
              <w:right w:type="dxa" w:w="100"/>
            </w:tcMar>
          </w:tcPr>
          <w:p>
            <w:r>
              <w:rPr>
                <w:b w:val="false"/>
                <w:bCs w:val="false"/>
                <w:color w:val="000000"/>
                <w:sz w:val="20"/>
                <w:szCs w:val="20"/>
              </w:rPr>
              <w:t xml:space="preserve">The system shall allow an administrator to create, edit, and delete hazard advisories (tsunami, high wave, PFZ), and shall display active advisories as a Dashboard map overlay.</w:t>
            </w:r>
          </w:p>
        </w:tc>
      </w:tr>
      <w:tr>
        <w:tc>
          <w:tcPr>
            <w:tcW w:type="dxa" w:w="900"/>
            <w:tcMar>
              <w:top w:type="dxa" w:w="80"/>
              <w:left w:type="dxa" w:w="100"/>
              <w:bottom w:type="dxa" w:w="80"/>
              <w:right w:type="dxa" w:w="100"/>
            </w:tcMar>
          </w:tcPr>
          <w:p>
            <w:r>
              <w:rPr>
                <w:b w:val="false"/>
                <w:bCs w:val="false"/>
                <w:color w:val="000000"/>
                <w:sz w:val="20"/>
                <w:szCs w:val="20"/>
              </w:rPr>
              <w:t xml:space="preserve">FR-13</w:t>
            </w:r>
          </w:p>
        </w:tc>
        <w:tc>
          <w:tcPr>
            <w:tcW w:type="dxa" w:w="2200"/>
            <w:tcMar>
              <w:top w:type="dxa" w:w="80"/>
              <w:left w:type="dxa" w:w="100"/>
              <w:bottom w:type="dxa" w:w="80"/>
              <w:right w:type="dxa" w:w="100"/>
            </w:tcMar>
          </w:tcPr>
          <w:p>
            <w:r>
              <w:rPr>
                <w:b w:val="false"/>
                <w:bCs w:val="false"/>
                <w:color w:val="000000"/>
                <w:sz w:val="20"/>
                <w:szCs w:val="20"/>
              </w:rPr>
              <w:t xml:space="preserve">AI Assistant</w:t>
            </w:r>
          </w:p>
        </w:tc>
        <w:tc>
          <w:tcPr>
            <w:tcW w:type="dxa" w:w="6250"/>
            <w:tcMar>
              <w:top w:type="dxa" w:w="80"/>
              <w:left w:type="dxa" w:w="100"/>
              <w:bottom w:type="dxa" w:w="80"/>
              <w:right w:type="dxa" w:w="100"/>
            </w:tcMar>
          </w:tcPr>
          <w:p>
            <w:r>
              <w:rPr>
                <w:b w:val="false"/>
                <w:bCs w:val="false"/>
                <w:color w:val="000000"/>
                <w:sz w:val="20"/>
                <w:szCs w:val="20"/>
              </w:rPr>
              <w:t xml:space="preserve">The system shall accept natural-language questions, extract query intent via an LLM, retrieve the corresponding data from existing endpoints, and respond with text and, where applicable, an inline chart.</w:t>
            </w:r>
          </w:p>
        </w:tc>
      </w:tr>
      <w:tr>
        <w:tc>
          <w:tcPr>
            <w:tcW w:type="dxa" w:w="900"/>
            <w:tcMar>
              <w:top w:type="dxa" w:w="80"/>
              <w:left w:type="dxa" w:w="100"/>
              <w:bottom w:type="dxa" w:w="80"/>
              <w:right w:type="dxa" w:w="100"/>
            </w:tcMar>
          </w:tcPr>
          <w:p>
            <w:r>
              <w:rPr>
                <w:b w:val="false"/>
                <w:bCs w:val="false"/>
                <w:color w:val="000000"/>
                <w:sz w:val="20"/>
                <w:szCs w:val="20"/>
              </w:rPr>
              <w:t xml:space="preserve">FR-14</w:t>
            </w:r>
          </w:p>
        </w:tc>
        <w:tc>
          <w:tcPr>
            <w:tcW w:type="dxa" w:w="2200"/>
            <w:tcMar>
              <w:top w:type="dxa" w:w="80"/>
              <w:left w:type="dxa" w:w="100"/>
              <w:bottom w:type="dxa" w:w="80"/>
              <w:right w:type="dxa" w:w="100"/>
            </w:tcMar>
          </w:tcPr>
          <w:p>
            <w:r>
              <w:rPr>
                <w:b w:val="false"/>
                <w:bCs w:val="false"/>
                <w:color w:val="000000"/>
                <w:sz w:val="20"/>
                <w:szCs w:val="20"/>
              </w:rPr>
              <w:t xml:space="preserve">Admin Authentication</w:t>
            </w:r>
          </w:p>
        </w:tc>
        <w:tc>
          <w:tcPr>
            <w:tcW w:type="dxa" w:w="6250"/>
            <w:tcMar>
              <w:top w:type="dxa" w:w="80"/>
              <w:left w:type="dxa" w:w="100"/>
              <w:bottom w:type="dxa" w:w="80"/>
              <w:right w:type="dxa" w:w="100"/>
            </w:tcMar>
          </w:tcPr>
          <w:p>
            <w:r>
              <w:rPr>
                <w:b w:val="false"/>
                <w:bCs w:val="false"/>
                <w:color w:val="000000"/>
                <w:sz w:val="20"/>
                <w:szCs w:val="20"/>
              </w:rPr>
              <w:t xml:space="preserve">The system shall require JWT-based authentication for all Data Manager and Profile &amp; Settings operations; new admin accounts shall remain inactive until approved by an existing administrator.</w:t>
            </w:r>
          </w:p>
        </w:tc>
      </w:tr>
      <w:tr>
        <w:tc>
          <w:tcPr>
            <w:tcW w:type="dxa" w:w="900"/>
            <w:tcMar>
              <w:top w:type="dxa" w:w="80"/>
              <w:left w:type="dxa" w:w="100"/>
              <w:bottom w:type="dxa" w:w="80"/>
              <w:right w:type="dxa" w:w="100"/>
            </w:tcMar>
          </w:tcPr>
          <w:p>
            <w:r>
              <w:rPr>
                <w:b w:val="false"/>
                <w:bCs w:val="false"/>
                <w:color w:val="000000"/>
                <w:sz w:val="20"/>
                <w:szCs w:val="20"/>
              </w:rPr>
              <w:t xml:space="preserve">FR-15</w:t>
            </w:r>
          </w:p>
        </w:tc>
        <w:tc>
          <w:tcPr>
            <w:tcW w:type="dxa" w:w="2200"/>
            <w:tcMar>
              <w:top w:type="dxa" w:w="80"/>
              <w:left w:type="dxa" w:w="100"/>
              <w:bottom w:type="dxa" w:w="80"/>
              <w:right w:type="dxa" w:w="100"/>
            </w:tcMar>
          </w:tcPr>
          <w:p>
            <w:r>
              <w:rPr>
                <w:b w:val="false"/>
                <w:bCs w:val="false"/>
                <w:color w:val="000000"/>
                <w:sz w:val="20"/>
                <w:szCs w:val="20"/>
              </w:rPr>
              <w:t xml:space="preserve">Self-Service Profile</w:t>
            </w:r>
          </w:p>
        </w:tc>
        <w:tc>
          <w:tcPr>
            <w:tcW w:type="dxa" w:w="6250"/>
            <w:tcMar>
              <w:top w:type="dxa" w:w="80"/>
              <w:left w:type="dxa" w:w="100"/>
              <w:bottom w:type="dxa" w:w="80"/>
              <w:right w:type="dxa" w:w="100"/>
            </w:tcMar>
          </w:tcPr>
          <w:p>
            <w:r>
              <w:rPr>
                <w:b w:val="false"/>
                <w:bCs w:val="false"/>
                <w:color w:val="000000"/>
                <w:sz w:val="20"/>
                <w:szCs w:val="20"/>
              </w:rPr>
              <w:t xml:space="preserve">The system shall allow an authenticated administrator to view their own account details and change their own password.</w:t>
            </w:r>
          </w:p>
        </w:tc>
      </w:tr>
      <w:tr>
        <w:tc>
          <w:tcPr>
            <w:tcW w:type="dxa" w:w="900"/>
            <w:tcMar>
              <w:top w:type="dxa" w:w="80"/>
              <w:left w:type="dxa" w:w="100"/>
              <w:bottom w:type="dxa" w:w="80"/>
              <w:right w:type="dxa" w:w="100"/>
            </w:tcMar>
          </w:tcPr>
          <w:p>
            <w:r>
              <w:rPr>
                <w:b w:val="false"/>
                <w:bCs w:val="false"/>
                <w:color w:val="000000"/>
                <w:sz w:val="20"/>
                <w:szCs w:val="20"/>
              </w:rPr>
              <w:t xml:space="preserve">FR-16</w:t>
            </w:r>
          </w:p>
        </w:tc>
        <w:tc>
          <w:tcPr>
            <w:tcW w:type="dxa" w:w="2200"/>
            <w:tcMar>
              <w:top w:type="dxa" w:w="80"/>
              <w:left w:type="dxa" w:w="100"/>
              <w:bottom w:type="dxa" w:w="80"/>
              <w:right w:type="dxa" w:w="100"/>
            </w:tcMar>
          </w:tcPr>
          <w:p>
            <w:r>
              <w:rPr>
                <w:b w:val="false"/>
                <w:bCs w:val="false"/>
                <w:color w:val="000000"/>
                <w:sz w:val="20"/>
                <w:szCs w:val="20"/>
              </w:rPr>
              <w:t xml:space="preserve">OGC &amp; OPeNDAP Access</w:t>
            </w:r>
          </w:p>
        </w:tc>
        <w:tc>
          <w:tcPr>
            <w:tcW w:type="dxa" w:w="6250"/>
            <w:tcMar>
              <w:top w:type="dxa" w:w="80"/>
              <w:left w:type="dxa" w:w="100"/>
              <w:bottom w:type="dxa" w:w="80"/>
              <w:right w:type="dxa" w:w="100"/>
            </w:tcMar>
          </w:tcPr>
          <w:p>
            <w:r>
              <w:rPr>
                <w:b w:val="false"/>
                <w:bCs w:val="false"/>
                <w:color w:val="000000"/>
                <w:sz w:val="20"/>
                <w:szCs w:val="20"/>
              </w:rPr>
              <w:t xml:space="preserve">The system shall expose model data as OGC WMS/WCS coverages and as raw NetCDF over OPeNDAP, via dedicated sidecar services rather than custom endpoints.</w:t>
            </w:r>
          </w:p>
        </w:tc>
      </w:tr>
      <w:tr>
        <w:tc>
          <w:tcPr>
            <w:tcW w:type="dxa" w:w="900"/>
            <w:tcMar>
              <w:top w:type="dxa" w:w="80"/>
              <w:left w:type="dxa" w:w="100"/>
              <w:bottom w:type="dxa" w:w="80"/>
              <w:right w:type="dxa" w:w="100"/>
            </w:tcMar>
          </w:tcPr>
          <w:p>
            <w:r>
              <w:rPr>
                <w:b w:val="false"/>
                <w:bCs w:val="false"/>
                <w:color w:val="000000"/>
                <w:sz w:val="20"/>
                <w:szCs w:val="20"/>
              </w:rPr>
              <w:t xml:space="preserve">FR-17</w:t>
            </w:r>
          </w:p>
        </w:tc>
        <w:tc>
          <w:tcPr>
            <w:tcW w:type="dxa" w:w="2200"/>
            <w:tcMar>
              <w:top w:type="dxa" w:w="80"/>
              <w:left w:type="dxa" w:w="100"/>
              <w:bottom w:type="dxa" w:w="80"/>
              <w:right w:type="dxa" w:w="100"/>
            </w:tcMar>
          </w:tcPr>
          <w:p>
            <w:r>
              <w:rPr>
                <w:b w:val="false"/>
                <w:bCs w:val="false"/>
                <w:color w:val="000000"/>
                <w:sz w:val="20"/>
                <w:szCs w:val="20"/>
              </w:rPr>
              <w:t xml:space="preserve">Export &amp; Sharing</w:t>
            </w:r>
          </w:p>
        </w:tc>
        <w:tc>
          <w:tcPr>
            <w:tcW w:type="dxa" w:w="6250"/>
            <w:tcMar>
              <w:top w:type="dxa" w:w="80"/>
              <w:left w:type="dxa" w:w="100"/>
              <w:bottom w:type="dxa" w:w="80"/>
              <w:right w:type="dxa" w:w="100"/>
            </w:tcMar>
          </w:tcPr>
          <w:p>
            <w:r>
              <w:rPr>
                <w:b w:val="false"/>
                <w:bCs w:val="false"/>
                <w:color w:val="000000"/>
                <w:sz w:val="20"/>
                <w:szCs w:val="20"/>
              </w:rPr>
              <w:t xml:space="preserve">The system shall allow the current chart or grid selection to be exported as CSV and the current view state to be copied as a shareable link.</w:t>
            </w:r>
          </w:p>
        </w:tc>
      </w:tr>
    </w:tbl>
    <w:p>
      <w:r>
        <w:br w:type="page"/>
      </w:r>
    </w:p>
    <w:p>
      <w:pPr>
        <w:pStyle w:val="Heading2"/>
        <w:spacing w:after="120" w:before="240"/>
      </w:pPr>
      <w:r>
        <w:t xml:space="preserve">3.2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D6F5C" w:val="clear"/>
            <w:tcMar>
              <w:top w:type="dxa" w:w="80"/>
              <w:left w:type="dxa" w:w="100"/>
              <w:bottom w:type="dxa" w:w="80"/>
              <w:right w:type="dxa" w:w="100"/>
            </w:tcMar>
          </w:tcPr>
          <w:p>
            <w:r>
              <w:rPr>
                <w:b/>
                <w:bCs/>
                <w:color w:val="FFFFFF"/>
                <w:sz w:val="20"/>
                <w:szCs w:val="20"/>
              </w:rPr>
              <w:t xml:space="preserve">Category</w:t>
            </w:r>
          </w:p>
        </w:tc>
        <w:tc>
          <w:tcPr>
            <w:tcW w:type="dxa" w:w="7150"/>
            <w:shd w:fill="1D6F5C" w:val="clear"/>
            <w:tcMar>
              <w:top w:type="dxa" w:w="80"/>
              <w:left w:type="dxa" w:w="100"/>
              <w:bottom w:type="dxa" w:w="80"/>
              <w:right w:type="dxa" w:w="100"/>
            </w:tcMar>
          </w:tcPr>
          <w:p>
            <w:r>
              <w:rPr>
                <w:b/>
                <w:bCs/>
                <w:color w:val="FFFFFF"/>
                <w:sz w:val="20"/>
                <w:szCs w:val="20"/>
              </w:rPr>
              <w:t xml:space="preserve">Requirement</w:t>
            </w:r>
          </w:p>
        </w:tc>
      </w:tr>
      <w:tr>
        <w:tc>
          <w:tcPr>
            <w:tcW w:type="dxa" w:w="2200"/>
            <w:tcMar>
              <w:top w:type="dxa" w:w="80"/>
              <w:left w:type="dxa" w:w="100"/>
              <w:bottom w:type="dxa" w:w="80"/>
              <w:right w:type="dxa" w:w="100"/>
            </w:tcMar>
          </w:tcPr>
          <w:p>
            <w:r>
              <w:rPr>
                <w:b w:val="false"/>
                <w:bCs w:val="false"/>
                <w:color w:val="000000"/>
                <w:sz w:val="20"/>
                <w:szCs w:val="20"/>
              </w:rPr>
              <w:t xml:space="preserve">Performance</w:t>
            </w:r>
          </w:p>
        </w:tc>
        <w:tc>
          <w:tcPr>
            <w:tcW w:type="dxa" w:w="7150"/>
            <w:tcMar>
              <w:top w:type="dxa" w:w="80"/>
              <w:left w:type="dxa" w:w="100"/>
              <w:bottom w:type="dxa" w:w="80"/>
              <w:right w:type="dxa" w:w="100"/>
            </w:tcMar>
          </w:tcPr>
          <w:p>
            <w:r>
              <w:rPr>
                <w:b w:val="false"/>
                <w:bCs w:val="false"/>
                <w:color w:val="000000"/>
                <w:sz w:val="20"/>
                <w:szCs w:val="20"/>
              </w:rPr>
              <w:t xml:space="preserve">3D scene shall load and render an initial grid fetch within a demo-representative time; volumetric slice interactions shall remain responsive (sub-100ms target, matching the PS's own stated benchmark) for typical grid sizes.</w:t>
            </w:r>
          </w:p>
        </w:tc>
      </w:tr>
      <w:tr>
        <w:tc>
          <w:tcPr>
            <w:tcW w:type="dxa" w:w="2200"/>
            <w:tcMar>
              <w:top w:type="dxa" w:w="80"/>
              <w:left w:type="dxa" w:w="100"/>
              <w:bottom w:type="dxa" w:w="80"/>
              <w:right w:type="dxa" w:w="100"/>
            </w:tcMar>
          </w:tcPr>
          <w:p>
            <w:r>
              <w:rPr>
                <w:b w:val="false"/>
                <w:bCs w:val="false"/>
                <w:color w:val="000000"/>
                <w:sz w:val="20"/>
                <w:szCs w:val="20"/>
              </w:rPr>
              <w:t xml:space="preserve">Security</w:t>
            </w:r>
          </w:p>
        </w:tc>
        <w:tc>
          <w:tcPr>
            <w:tcW w:type="dxa" w:w="7150"/>
            <w:tcMar>
              <w:top w:type="dxa" w:w="80"/>
              <w:left w:type="dxa" w:w="100"/>
              <w:bottom w:type="dxa" w:w="80"/>
              <w:right w:type="dxa" w:w="100"/>
            </w:tcMar>
          </w:tcPr>
          <w:p>
            <w:r>
              <w:rPr>
                <w:b w:val="false"/>
                <w:bCs w:val="false"/>
                <w:color w:val="000000"/>
                <w:sz w:val="20"/>
                <w:szCs w:val="20"/>
              </w:rPr>
              <w:t xml:space="preserve">All admin-only routes (Data Manager, Profile &amp; Settings, and their backing APIs) shall be enforced server-side via Spring Security regardless of what the frontend displays. Passwords shall be hashed, never stored or logged in plaintext.</w:t>
            </w:r>
          </w:p>
        </w:tc>
      </w:tr>
      <w:tr>
        <w:tc>
          <w:tcPr>
            <w:tcW w:type="dxa" w:w="2200"/>
            <w:tcMar>
              <w:top w:type="dxa" w:w="80"/>
              <w:left w:type="dxa" w:w="100"/>
              <w:bottom w:type="dxa" w:w="80"/>
              <w:right w:type="dxa" w:w="100"/>
            </w:tcMar>
          </w:tcPr>
          <w:p>
            <w:r>
              <w:rPr>
                <w:b w:val="false"/>
                <w:bCs w:val="false"/>
                <w:color w:val="000000"/>
                <w:sz w:val="20"/>
                <w:szCs w:val="20"/>
              </w:rPr>
              <w:t xml:space="preserve">Availability</w:t>
            </w:r>
          </w:p>
        </w:tc>
        <w:tc>
          <w:tcPr>
            <w:tcW w:type="dxa" w:w="7150"/>
            <w:tcMar>
              <w:top w:type="dxa" w:w="80"/>
              <w:left w:type="dxa" w:w="100"/>
              <w:bottom w:type="dxa" w:w="80"/>
              <w:right w:type="dxa" w:w="100"/>
            </w:tcMar>
          </w:tcPr>
          <w:p>
            <w:r>
              <w:rPr>
                <w:b w:val="false"/>
                <w:bCs w:val="false"/>
                <w:color w:val="000000"/>
                <w:sz w:val="20"/>
                <w:szCs w:val="20"/>
              </w:rPr>
              <w:t xml:space="preserve">The AI Assistant and public pages (Home, Dashboard, Geo Map) shall remain usable even if the LLM Query Service or an upstream data source is temporarily unavailable, degrading gracefully rather than failing the whole page.</w:t>
            </w:r>
          </w:p>
        </w:tc>
      </w:tr>
      <w:tr>
        <w:tc>
          <w:tcPr>
            <w:tcW w:type="dxa" w:w="2200"/>
            <w:tcMar>
              <w:top w:type="dxa" w:w="80"/>
              <w:left w:type="dxa" w:w="100"/>
              <w:bottom w:type="dxa" w:w="80"/>
              <w:right w:type="dxa" w:w="100"/>
            </w:tcMar>
          </w:tcPr>
          <w:p>
            <w:r>
              <w:rPr>
                <w:b w:val="false"/>
                <w:bCs w:val="false"/>
                <w:color w:val="000000"/>
                <w:sz w:val="20"/>
                <w:szCs w:val="20"/>
              </w:rPr>
              <w:t xml:space="preserve">Scalability</w:t>
            </w:r>
          </w:p>
        </w:tc>
        <w:tc>
          <w:tcPr>
            <w:tcW w:type="dxa" w:w="7150"/>
            <w:tcMar>
              <w:top w:type="dxa" w:w="80"/>
              <w:left w:type="dxa" w:w="100"/>
              <w:bottom w:type="dxa" w:w="80"/>
              <w:right w:type="dxa" w:w="100"/>
            </w:tcMar>
          </w:tcPr>
          <w:p>
            <w:r>
              <w:rPr>
                <w:b w:val="false"/>
                <w:bCs w:val="false"/>
                <w:color w:val="000000"/>
                <w:sz w:val="20"/>
                <w:szCs w:val="20"/>
              </w:rPr>
              <w:t xml:space="preserve">The ingestion pipeline shall support new parsers and new instrument types without modification to existing controllers or the database schema for unrelated entities.</w:t>
            </w:r>
          </w:p>
        </w:tc>
      </w:tr>
      <w:tr>
        <w:tc>
          <w:tcPr>
            <w:tcW w:type="dxa" w:w="2200"/>
            <w:tcMar>
              <w:top w:type="dxa" w:w="80"/>
              <w:left w:type="dxa" w:w="100"/>
              <w:bottom w:type="dxa" w:w="80"/>
              <w:right w:type="dxa" w:w="100"/>
            </w:tcMar>
          </w:tcPr>
          <w:p>
            <w:r>
              <w:rPr>
                <w:b w:val="false"/>
                <w:bCs w:val="false"/>
                <w:color w:val="000000"/>
                <w:sz w:val="20"/>
                <w:szCs w:val="20"/>
              </w:rPr>
              <w:t xml:space="preserve">Usability</w:t>
            </w:r>
          </w:p>
        </w:tc>
        <w:tc>
          <w:tcPr>
            <w:tcW w:type="dxa" w:w="7150"/>
            <w:tcMar>
              <w:top w:type="dxa" w:w="80"/>
              <w:left w:type="dxa" w:w="100"/>
              <w:bottom w:type="dxa" w:w="80"/>
              <w:right w:type="dxa" w:w="100"/>
            </w:tcMar>
          </w:tcPr>
          <w:p>
            <w:r>
              <w:rPr>
                <w:b w:val="false"/>
                <w:bCs w:val="false"/>
                <w:color w:val="000000"/>
                <w:sz w:val="20"/>
                <w:szCs w:val="20"/>
              </w:rPr>
              <w:t xml:space="preserve">The public-facing pages (Home, Dashboard, Geo Map, AI Assistant) shall require no login and no oceanography-specific training to produce a meaningful result.</w:t>
            </w:r>
          </w:p>
        </w:tc>
      </w:tr>
      <w:tr>
        <w:tc>
          <w:tcPr>
            <w:tcW w:type="dxa" w:w="2200"/>
            <w:tcMar>
              <w:top w:type="dxa" w:w="80"/>
              <w:left w:type="dxa" w:w="100"/>
              <w:bottom w:type="dxa" w:w="80"/>
              <w:right w:type="dxa" w:w="100"/>
            </w:tcMar>
          </w:tcPr>
          <w:p>
            <w:r>
              <w:rPr>
                <w:b w:val="false"/>
                <w:bCs w:val="false"/>
                <w:color w:val="000000"/>
                <w:sz w:val="20"/>
                <w:szCs w:val="20"/>
              </w:rPr>
              <w:t xml:space="preserve">Compliance</w:t>
            </w:r>
          </w:p>
        </w:tc>
        <w:tc>
          <w:tcPr>
            <w:tcW w:type="dxa" w:w="7150"/>
            <w:tcMar>
              <w:top w:type="dxa" w:w="80"/>
              <w:left w:type="dxa" w:w="100"/>
              <w:bottom w:type="dxa" w:w="80"/>
              <w:right w:type="dxa" w:w="100"/>
            </w:tcMar>
          </w:tcPr>
          <w:p>
            <w:r>
              <w:rPr>
                <w:b w:val="false"/>
                <w:bCs w:val="false"/>
                <w:color w:val="000000"/>
                <w:sz w:val="20"/>
                <w:szCs w:val="20"/>
              </w:rPr>
              <w:t xml:space="preserve">NetCDF ingestion shall validate CF Convention metadata before acceptance; WMS/WCS output shall conform to OGC standards for interoperability with national/international ocean data portals.</w:t>
            </w:r>
          </w:p>
        </w:tc>
      </w:tr>
      <w:tr>
        <w:tc>
          <w:tcPr>
            <w:tcW w:type="dxa" w:w="2200"/>
            <w:tcMar>
              <w:top w:type="dxa" w:w="80"/>
              <w:left w:type="dxa" w:w="100"/>
              <w:bottom w:type="dxa" w:w="80"/>
              <w:right w:type="dxa" w:w="100"/>
            </w:tcMar>
          </w:tcPr>
          <w:p>
            <w:r>
              <w:rPr>
                <w:b w:val="false"/>
                <w:bCs w:val="false"/>
                <w:color w:val="000000"/>
                <w:sz w:val="20"/>
                <w:szCs w:val="20"/>
              </w:rPr>
              <w:t xml:space="preserve">Maintainability</w:t>
            </w:r>
          </w:p>
        </w:tc>
        <w:tc>
          <w:tcPr>
            <w:tcW w:type="dxa" w:w="7150"/>
            <w:tcMar>
              <w:top w:type="dxa" w:w="80"/>
              <w:left w:type="dxa" w:w="100"/>
              <w:bottom w:type="dxa" w:w="80"/>
              <w:right w:type="dxa" w:w="100"/>
            </w:tcMar>
          </w:tcPr>
          <w:p>
            <w:r>
              <w:rPr>
                <w:b w:val="false"/>
                <w:bCs w:val="false"/>
                <w:color w:val="000000"/>
                <w:sz w:val="20"/>
                <w:szCs w:val="20"/>
              </w:rPr>
              <w:t xml:space="preserve">Frontend components shall be organized by page/feature area (see Module Structure) so a new contributor can locate the code for any single feature without searching the whole codebase.</w:t>
            </w:r>
          </w:p>
        </w:tc>
      </w:tr>
      <w:tr>
        <w:tc>
          <w:tcPr>
            <w:tcW w:type="dxa" w:w="2200"/>
            <w:tcMar>
              <w:top w:type="dxa" w:w="80"/>
              <w:left w:type="dxa" w:w="100"/>
              <w:bottom w:type="dxa" w:w="80"/>
              <w:right w:type="dxa" w:w="100"/>
            </w:tcMar>
          </w:tcPr>
          <w:p>
            <w:r>
              <w:rPr>
                <w:b w:val="false"/>
                <w:bCs w:val="false"/>
                <w:color w:val="000000"/>
                <w:sz w:val="20"/>
                <w:szCs w:val="20"/>
              </w:rPr>
              <w:t xml:space="preserve">Portability</w:t>
            </w:r>
          </w:p>
        </w:tc>
        <w:tc>
          <w:tcPr>
            <w:tcW w:type="dxa" w:w="7150"/>
            <w:tcMar>
              <w:top w:type="dxa" w:w="80"/>
              <w:left w:type="dxa" w:w="100"/>
              <w:bottom w:type="dxa" w:w="80"/>
              <w:right w:type="dxa" w:w="100"/>
            </w:tcMar>
          </w:tcPr>
          <w:p>
            <w:r>
              <w:rPr>
                <w:b w:val="false"/>
                <w:bCs w:val="false"/>
                <w:color w:val="000000"/>
                <w:sz w:val="20"/>
                <w:szCs w:val="20"/>
              </w:rPr>
              <w:t xml:space="preserve">The full stack (backend, frontend, Postgres, THREDDS, GeoServer) shall be containerized and orchestrated via Docker Compose for consistent deployment across environments.</w:t>
            </w:r>
          </w:p>
        </w:tc>
      </w:tr>
    </w:tbl>
    <w:p>
      <w:pPr>
        <w:pStyle w:val="Heading2"/>
        <w:spacing w:after="120" w:before="240"/>
      </w:pPr>
      <w:r>
        <w:t xml:space="preserve">3.3 External Interface Requirements</w:t>
      </w:r>
    </w:p>
    <w:p>
      <w:pPr>
        <w:pStyle w:val="Heading3"/>
        <w:spacing w:after="100" w:before="200"/>
      </w:pPr>
      <w:r>
        <w:t xml:space="preserve">3.3.1 User Interfaces</w:t>
      </w:r>
    </w:p>
    <w:p>
      <w:pPr>
        <w:spacing w:after="140"/>
      </w:pPr>
      <w:r>
        <w:t xml:space="preserve">Seven pages, detailed in the companion Project Description Document (Section 7): Home, Dashboard, Geo Map, AI Assistant, Data Manager, Profile &amp; Settings, and Login/Signup.</w:t>
      </w:r>
    </w:p>
    <w:p>
      <w:pPr>
        <w:pStyle w:val="Heading3"/>
        <w:spacing w:after="100" w:before="200"/>
      </w:pPr>
      <w:r>
        <w:t xml:space="preserve">3.3.2 Software Interfaces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D6F5C" w:val="clear"/>
            <w:tcMar>
              <w:top w:type="dxa" w:w="80"/>
              <w:left w:type="dxa" w:w="100"/>
              <w:bottom w:type="dxa" w:w="80"/>
              <w:right w:type="dxa" w:w="100"/>
            </w:tcMar>
          </w:tcPr>
          <w:p>
            <w:r>
              <w:rPr>
                <w:b/>
                <w:bCs/>
                <w:color w:val="FFFFFF"/>
                <w:sz w:val="20"/>
                <w:szCs w:val="20"/>
              </w:rPr>
              <w:t xml:space="preserve">Interface</w:t>
            </w:r>
          </w:p>
        </w:tc>
        <w:tc>
          <w:tcPr>
            <w:tcW w:type="dxa" w:w="6150"/>
            <w:shd w:fill="1D6F5C"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LAS INCOIS / Copernicus Marine</w:t>
            </w:r>
          </w:p>
        </w:tc>
        <w:tc>
          <w:tcPr>
            <w:tcW w:type="dxa" w:w="6150"/>
            <w:tcMar>
              <w:top w:type="dxa" w:w="80"/>
              <w:left w:type="dxa" w:w="100"/>
              <w:bottom w:type="dxa" w:w="80"/>
              <w:right w:type="dxa" w:w="100"/>
            </w:tcMar>
          </w:tcPr>
          <w:p>
            <w:r>
              <w:rPr>
                <w:b w:val="false"/>
                <w:bCs w:val="false"/>
                <w:color w:val="000000"/>
                <w:sz w:val="20"/>
                <w:szCs w:val="20"/>
              </w:rPr>
              <w:t xml:space="preserve">Upstream NetCDF ocean model data, ingested via NetCdfOceanDataParser.</w:t>
            </w:r>
          </w:p>
        </w:tc>
      </w:tr>
      <w:tr>
        <w:tc>
          <w:tcPr>
            <w:tcW w:type="dxa" w:w="3200"/>
            <w:tcMar>
              <w:top w:type="dxa" w:w="80"/>
              <w:left w:type="dxa" w:w="100"/>
              <w:bottom w:type="dxa" w:w="80"/>
              <w:right w:type="dxa" w:w="100"/>
            </w:tcMar>
          </w:tcPr>
          <w:p>
            <w:r>
              <w:rPr>
                <w:b w:val="false"/>
                <w:bCs w:val="false"/>
                <w:color w:val="000000"/>
                <w:sz w:val="20"/>
                <w:szCs w:val="20"/>
              </w:rPr>
              <w:t xml:space="preserve">Argo Global / Glider (Ifremer, FTP)</w:t>
            </w:r>
          </w:p>
        </w:tc>
        <w:tc>
          <w:tcPr>
            <w:tcW w:type="dxa" w:w="6150"/>
            <w:tcMar>
              <w:top w:type="dxa" w:w="80"/>
              <w:left w:type="dxa" w:w="100"/>
              <w:bottom w:type="dxa" w:w="80"/>
              <w:right w:type="dxa" w:w="100"/>
            </w:tcMar>
          </w:tcPr>
          <w:p>
            <w:r>
              <w:rPr>
                <w:b w:val="false"/>
                <w:bCs w:val="false"/>
                <w:color w:val="000000"/>
                <w:sz w:val="20"/>
                <w:szCs w:val="20"/>
              </w:rPr>
              <w:t xml:space="preserve">Upstream instrument profile and position data, downloaded manually for demo scope.</w:t>
            </w:r>
          </w:p>
        </w:tc>
      </w:tr>
      <w:tr>
        <w:tc>
          <w:tcPr>
            <w:tcW w:type="dxa" w:w="3200"/>
            <w:tcMar>
              <w:top w:type="dxa" w:w="80"/>
              <w:left w:type="dxa" w:w="100"/>
              <w:bottom w:type="dxa" w:w="80"/>
              <w:right w:type="dxa" w:w="100"/>
            </w:tcMar>
          </w:tcPr>
          <w:p>
            <w:r>
              <w:rPr>
                <w:b w:val="false"/>
                <w:bCs w:val="false"/>
                <w:color w:val="000000"/>
                <w:sz w:val="20"/>
                <w:szCs w:val="20"/>
              </w:rPr>
              <w:t xml:space="preserve">THREDDS Data Server</w:t>
            </w:r>
          </w:p>
        </w:tc>
        <w:tc>
          <w:tcPr>
            <w:tcW w:type="dxa" w:w="6150"/>
            <w:tcMar>
              <w:top w:type="dxa" w:w="80"/>
              <w:left w:type="dxa" w:w="100"/>
              <w:bottom w:type="dxa" w:w="80"/>
              <w:right w:type="dxa" w:w="100"/>
            </w:tcMar>
          </w:tcPr>
          <w:p>
            <w:r>
              <w:rPr>
                <w:b w:val="false"/>
                <w:bCs w:val="false"/>
                <w:color w:val="000000"/>
                <w:sz w:val="20"/>
                <w:szCs w:val="20"/>
              </w:rPr>
              <w:t xml:space="preserve">OPeNDAP access to raw NetCDF files.</w:t>
            </w:r>
          </w:p>
        </w:tc>
      </w:tr>
      <w:tr>
        <w:tc>
          <w:tcPr>
            <w:tcW w:type="dxa" w:w="3200"/>
            <w:tcMar>
              <w:top w:type="dxa" w:w="80"/>
              <w:left w:type="dxa" w:w="100"/>
              <w:bottom w:type="dxa" w:w="80"/>
              <w:right w:type="dxa" w:w="100"/>
            </w:tcMar>
          </w:tcPr>
          <w:p>
            <w:r>
              <w:rPr>
                <w:b w:val="false"/>
                <w:bCs w:val="false"/>
                <w:color w:val="000000"/>
                <w:sz w:val="20"/>
                <w:szCs w:val="20"/>
              </w:rPr>
              <w:t xml:space="preserve">GeoServer</w:t>
            </w:r>
          </w:p>
        </w:tc>
        <w:tc>
          <w:tcPr>
            <w:tcW w:type="dxa" w:w="6150"/>
            <w:tcMar>
              <w:top w:type="dxa" w:w="80"/>
              <w:left w:type="dxa" w:w="100"/>
              <w:bottom w:type="dxa" w:w="80"/>
              <w:right w:type="dxa" w:w="100"/>
            </w:tcMar>
          </w:tcPr>
          <w:p>
            <w:r>
              <w:rPr>
                <w:b w:val="false"/>
                <w:bCs w:val="false"/>
                <w:color w:val="000000"/>
                <w:sz w:val="20"/>
                <w:szCs w:val="20"/>
              </w:rPr>
              <w:t xml:space="preserve">OGC WMS/WCS coverage publishing.</w:t>
            </w:r>
          </w:p>
        </w:tc>
      </w:tr>
      <w:tr>
        <w:tc>
          <w:tcPr>
            <w:tcW w:type="dxa" w:w="3200"/>
            <w:tcMar>
              <w:top w:type="dxa" w:w="80"/>
              <w:left w:type="dxa" w:w="100"/>
              <w:bottom w:type="dxa" w:w="80"/>
              <w:right w:type="dxa" w:w="100"/>
            </w:tcMar>
          </w:tcPr>
          <w:p>
            <w:r>
              <w:rPr>
                <w:b w:val="false"/>
                <w:bCs w:val="false"/>
                <w:color w:val="000000"/>
                <w:sz w:val="20"/>
                <w:szCs w:val="20"/>
              </w:rPr>
              <w:t xml:space="preserve">External LLM API</w:t>
            </w:r>
          </w:p>
        </w:tc>
        <w:tc>
          <w:tcPr>
            <w:tcW w:type="dxa" w:w="6150"/>
            <w:tcMar>
              <w:top w:type="dxa" w:w="80"/>
              <w:left w:type="dxa" w:w="100"/>
              <w:bottom w:type="dxa" w:w="80"/>
              <w:right w:type="dxa" w:w="100"/>
            </w:tcMar>
          </w:tcPr>
          <w:p>
            <w:r>
              <w:rPr>
                <w:b w:val="false"/>
                <w:bCs w:val="false"/>
                <w:color w:val="000000"/>
                <w:sz w:val="20"/>
                <w:szCs w:val="20"/>
              </w:rPr>
              <w:t xml:space="preserve">Natural-language intent extraction for the AI Assistant.</w:t>
            </w:r>
          </w:p>
        </w:tc>
      </w:tr>
    </w:tbl>
    <w:p>
      <w:pPr>
        <w:pStyle w:val="Heading3"/>
        <w:spacing w:after="100" w:before="200"/>
      </w:pPr>
      <w:r>
        <w:t xml:space="preserve">3.3.3 Communication Interfaces</w:t>
      </w:r>
    </w:p>
    <w:p>
      <w:pPr>
        <w:spacing w:after="140"/>
      </w:pPr>
      <w:r>
        <w:t xml:space="preserve">All frontend-backend communication is over REST/JSON, secured with JWT bearer tokens for admin-only endpoints. Public endpoints require no authentication header.</w:t>
      </w:r>
    </w:p>
    <w:p>
      <w:r>
        <w:br w:type="page"/>
      </w:r>
    </w:p>
    <w:p>
      <w:pPr>
        <w:pStyle w:val="Heading1"/>
        <w:spacing w:after="160" w:before="320"/>
      </w:pPr>
      <w:r>
        <w:t xml:space="preserve">4. System Models</w:t>
      </w:r>
    </w:p>
    <w:p>
      <w:pPr>
        <w:pStyle w:val="Heading2"/>
        <w:spacing w:after="120" w:before="240"/>
      </w:pPr>
      <w:r>
        <w:t xml:space="preserve">4.1 Use Case Overview</w:t>
      </w:r>
    </w:p>
    <w:p>
      <w:pPr>
        <w:spacing w:after="140"/>
      </w:pPr>
      <w:r>
        <w:t xml:space="preserve">Four primary use-case flows exist in the system: data ingestion by an administrator, general data exploration by a public visitor, a natural-language query via the AI Assistant, and the admin authentication lifecycle (signup → approval → login). All four converge on the same PostgreSQL data store.</w:t>
      </w:r>
    </w:p>
    <w:p>
      <w:pPr>
        <w:spacing w:after="160" w:before="160"/>
        <w:jc w:val="center"/>
      </w:pPr>
      <w:r>
        <w:drawing>
          <wp:inline distT="0" distB="0" distL="0" distR="0">
            <wp:extent cx="40005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781675"/>
                    </a:xfrm>
                    <a:prstGeom prst="rect">
                      <a:avLst/>
                    </a:prstGeom>
                  </pic:spPr>
                </pic:pic>
              </a:graphicData>
            </a:graphic>
          </wp:inline>
        </w:drawing>
      </w:r>
    </w:p>
    <w:p>
      <w:pPr>
        <w:pStyle w:val="Heading2"/>
        <w:spacing w:after="120" w:before="240"/>
      </w:pPr>
      <w:r>
        <w:t xml:space="preserve">4.2 Site / Navigation Model</w:t>
      </w:r>
    </w:p>
    <w:p>
      <w:pPr>
        <w:spacing w:after="140"/>
      </w:pPr>
      <w:r>
        <w:t xml:space="preserve">The site is flat — no page is nested more than one level below Home. Two pages (Data Manager; Profile &amp; Settings) are visible and reachable only to an authenticated administrator, enforced both in the navigation UI and at the API layer.</w:t>
      </w:r>
    </w:p>
    <w:p>
      <w:pPr>
        <w:spacing w:after="160" w:before="160"/>
        <w:jc w:val="center"/>
      </w:pPr>
      <w:r>
        <w:drawing>
          <wp:inline distT="0" distB="0" distL="0" distR="0">
            <wp:extent cx="5715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38225"/>
                    </a:xfrm>
                    <a:prstGeom prst="rect">
                      <a:avLst/>
                    </a:prstGeom>
                  </pic:spPr>
                </pic:pic>
              </a:graphicData>
            </a:graphic>
          </wp:inline>
        </w:drawing>
      </w:r>
    </w:p>
    <w:p>
      <w:pPr>
        <w:pStyle w:val="Heading2"/>
        <w:spacing w:after="120" w:before="240"/>
      </w:pPr>
      <w:r>
        <w:t xml:space="preserve">4.3 Data Model</w:t>
      </w:r>
    </w:p>
    <w:p>
      <w:pPr>
        <w:spacing w:after="140"/>
      </w:pPr>
      <w:r>
        <w:t xml:space="preserve">See the companion Project Description Document, Section 6, for the full entity-relationship diagram. In summary: ArgoFloatEntity is the relational hub for instrument data, owning both ProfileSampleEntity (depth-resolved readings) and FloatPositionEntity (position history for trajectory/path rendering). OceanGridPointEntity, UserEntity, HazardAdvisoryEntity, and ChatMessageEntity are independent tables.</w:t>
      </w:r>
    </w:p>
    <w:p>
      <w:r>
        <w:br w:type="page"/>
      </w:r>
    </w:p>
    <w:p>
      <w:pPr>
        <w:pStyle w:val="Heading1"/>
        <w:spacing w:after="160" w:before="320"/>
      </w:pPr>
      <w:r>
        <w:t xml:space="preserve">5. Appendix</w:t>
      </w:r>
    </w:p>
    <w:p>
      <w:pPr>
        <w:pStyle w:val="Heading2"/>
        <w:spacing w:after="120" w:before="240"/>
      </w:pPr>
      <w:r>
        <w:t xml:space="preserve">5.1 Traceability Note</w:t>
      </w:r>
    </w:p>
    <w:p>
      <w:pPr>
        <w:spacing w:after="140"/>
      </w:pPr>
      <w:r>
        <w:t xml:space="preserve">Every functional requirement in Section 3.1 traces to a Primary, Secondary, or Tertiary deliverable defined in the Project Description Document (Section 2), and to a concrete backend/frontend module in that document's Section 8. No functional requirement in this SRS lacks a corresponding module in the module structure.</w:t>
      </w:r>
    </w:p>
    <w:p>
      <w:pPr>
        <w:pStyle w:val="Heading2"/>
        <w:spacing w:after="120" w:before="240"/>
      </w:pPr>
      <w:r>
        <w:t xml:space="preserve">5.2 Open Items</w:t>
      </w:r>
    </w:p>
    <w:p>
      <w:pPr>
        <w:pStyle w:val="ListParagraph"/>
        <w:numPr>
          <w:ilvl w:val="0"/>
          <w:numId w:val="1"/>
        </w:numPr>
        <w:spacing w:after="60"/>
      </w:pPr>
      <w:r>
        <w:t xml:space="preserve">Forecaster-specific account tier (distinct from Public Visitor) — not currently planned; noted in Section 2.3 as a possible future addition.</w:t>
      </w:r>
    </w:p>
    <w:p>
      <w:pPr>
        <w:pStyle w:val="ListParagraph"/>
        <w:numPr>
          <w:ilvl w:val="0"/>
          <w:numId w:val="1"/>
        </w:numPr>
        <w:spacing w:after="60"/>
      </w:pPr>
      <w:r>
        <w:t xml:space="preserve">Automated FTP ingestion for Argo/Glider sources — currently manual; would require a dedicated fetcher module if automated.</w:t>
      </w:r>
    </w:p>
    <w:p>
      <w:pPr>
        <w:pStyle w:val="ListParagraph"/>
        <w:numPr>
          <w:ilvl w:val="0"/>
          <w:numId w:val="1"/>
        </w:numPr>
        <w:spacing w:after="60"/>
      </w:pPr>
      <w:r>
        <w:t xml:space="preserve">A fourth in-situ data source mentioned during planning ('Collection of In-situ Data') had no URL provided and remains unresolved.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078"/>
        <w:sz w:val="16"/>
        <w:szCs w:val="16"/>
      </w:rPr>
      <w:t xml:space="preserve">Page </w:t>
    </w:r>
    <w:r>
      <w:rPr>
        <w:color w:val="6B70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078"/>
        <w:sz w:val="16"/>
        <w:szCs w:val="16"/>
      </w:rPr>
      <w:t xml:space="preserve">DEEPSYNC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D6F5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C24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f32bde94b43101de10300f21290e37171ab361.png"/><Relationship Id="rId10" Type="http://schemas.openxmlformats.org/officeDocument/2006/relationships/image" Target="media/38bec713dcdbe1001fad39be5e0a610fae952f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2026-09-09T06:22:58.003Z</dcterms:created>
  <dcterms:modified xsi:type="dcterms:W3CDTF">2026-09-09T06:22:58.003Z</dcterms:modified>
</cp:coreProperties>
</file>

<file path=docProps/custom.xml><?xml version="1.0" encoding="utf-8"?>
<Properties xmlns="http://schemas.openxmlformats.org/officeDocument/2006/custom-properties" xmlns:vt="http://schemas.openxmlformats.org/officeDocument/2006/docPropsVTypes"/>
</file>