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BB02" w14:textId="024FE708" w:rsidR="0062238E" w:rsidRPr="00434425" w:rsidRDefault="00434425" w:rsidP="00434425">
      <w:pPr>
        <w:jc w:val="center"/>
        <w:rPr>
          <w:rFonts w:ascii="Times New Roman" w:hAnsi="Times New Roman" w:cs="Times New Roman"/>
          <w:b/>
          <w:bCs/>
          <w:sz w:val="28"/>
          <w:szCs w:val="28"/>
          <w:lang w:val="en-US"/>
        </w:rPr>
      </w:pPr>
      <w:r w:rsidRPr="00434425">
        <w:rPr>
          <w:rFonts w:ascii="Times New Roman" w:hAnsi="Times New Roman" w:cs="Times New Roman"/>
          <w:b/>
          <w:bCs/>
          <w:sz w:val="28"/>
          <w:szCs w:val="28"/>
          <w:lang w:val="en-US"/>
        </w:rPr>
        <w:t>CHAPTER 2</w:t>
      </w:r>
    </w:p>
    <w:p w14:paraId="2D941CE6" w14:textId="77777777" w:rsidR="00434425" w:rsidRDefault="00434425" w:rsidP="00434425">
      <w:pPr>
        <w:jc w:val="center"/>
        <w:rPr>
          <w:rFonts w:ascii="Times New Roman" w:hAnsi="Times New Roman" w:cs="Times New Roman"/>
          <w:b/>
          <w:bCs/>
          <w:sz w:val="28"/>
          <w:szCs w:val="28"/>
          <w:lang w:val="en-US"/>
        </w:rPr>
      </w:pPr>
      <w:r w:rsidRPr="00434425">
        <w:rPr>
          <w:rFonts w:ascii="Times New Roman" w:hAnsi="Times New Roman" w:cs="Times New Roman"/>
          <w:b/>
          <w:bCs/>
          <w:sz w:val="28"/>
          <w:szCs w:val="28"/>
          <w:lang w:val="en-US"/>
        </w:rPr>
        <w:t>LITERATURE REVIEW</w:t>
      </w:r>
    </w:p>
    <w:p w14:paraId="4EEE7730" w14:textId="67045DEC" w:rsidR="00434425" w:rsidRPr="00434425" w:rsidRDefault="00434425" w:rsidP="00095D7E">
      <w:pPr>
        <w:spacing w:line="360" w:lineRule="auto"/>
        <w:ind w:firstLine="720"/>
        <w:jc w:val="both"/>
        <w:rPr>
          <w:rFonts w:ascii="Times New Roman" w:hAnsi="Times New Roman" w:cs="Times New Roman"/>
          <w:b/>
          <w:bCs/>
          <w:sz w:val="28"/>
          <w:szCs w:val="28"/>
          <w:lang w:val="en-US"/>
        </w:rPr>
      </w:pPr>
      <w:r w:rsidRPr="003B4FCE">
        <w:rPr>
          <w:rFonts w:ascii="Times New Roman" w:hAnsi="Times New Roman" w:cs="Times New Roman"/>
          <w:b/>
          <w:bCs/>
          <w:sz w:val="24"/>
          <w:szCs w:val="24"/>
        </w:rPr>
        <w:t xml:space="preserve">M. </w:t>
      </w:r>
      <w:proofErr w:type="spellStart"/>
      <w:r w:rsidRPr="003B4FCE">
        <w:rPr>
          <w:rFonts w:ascii="Times New Roman" w:hAnsi="Times New Roman" w:cs="Times New Roman"/>
          <w:b/>
          <w:bCs/>
          <w:sz w:val="24"/>
          <w:szCs w:val="24"/>
        </w:rPr>
        <w:t>Gaeini</w:t>
      </w:r>
      <w:proofErr w:type="spellEnd"/>
      <w:r w:rsidRPr="003B4FCE">
        <w:rPr>
          <w:rFonts w:ascii="Times New Roman" w:hAnsi="Times New Roman" w:cs="Times New Roman"/>
          <w:b/>
          <w:bCs/>
          <w:sz w:val="24"/>
          <w:szCs w:val="24"/>
        </w:rPr>
        <w:t xml:space="preserve"> (2018)</w:t>
      </w:r>
      <w:r w:rsidRPr="003B4FCE">
        <w:rPr>
          <w:rFonts w:ascii="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in order to evaluate the improvements on the basis of three subjects: reaction kinetics, heat storage density and stability</w:t>
      </w:r>
      <w:r>
        <w:rPr>
          <w:rFonts w:ascii="Times New Roman" w:hAnsi="Times New Roman" w:cs="Times New Roman"/>
          <w:sz w:val="24"/>
          <w:szCs w:val="24"/>
        </w:rPr>
        <w:t>.</w:t>
      </w:r>
    </w:p>
    <w:p w14:paraId="7ED2B047" w14:textId="77777777" w:rsidR="00434425" w:rsidRPr="003B4FCE" w:rsidRDefault="00434425" w:rsidP="00434425">
      <w:pPr>
        <w:spacing w:line="360" w:lineRule="auto"/>
        <w:ind w:right="26"/>
        <w:jc w:val="both"/>
        <w:rPr>
          <w:rFonts w:ascii="Times New Roman" w:hAnsi="Times New Roman" w:cs="Times New Roman"/>
          <w:sz w:val="24"/>
          <w:szCs w:val="24"/>
        </w:rPr>
      </w:pPr>
      <w:r w:rsidRPr="003B4FCE">
        <w:rPr>
          <w:rFonts w:ascii="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according to the de/re-hydration reaction of </w:t>
      </w:r>
    </w:p>
    <w:p w14:paraId="73C19664" w14:textId="77777777" w:rsidR="00434425" w:rsidRPr="003B4FCE" w:rsidRDefault="00434425" w:rsidP="00434425">
      <w:pPr>
        <w:spacing w:line="360" w:lineRule="auto"/>
        <w:ind w:left="980" w:right="26"/>
        <w:jc w:val="both"/>
        <w:rPr>
          <w:rFonts w:ascii="Times New Roman" w:hAnsi="Times New Roman" w:cs="Times New Roman"/>
          <w:sz w:val="24"/>
          <w:szCs w:val="24"/>
        </w:rPr>
      </w:pPr>
      <m:oMathPara>
        <m:oMath>
          <m:r>
            <w:rPr>
              <w:rFonts w:ascii="Cambria Math" w:hAnsi="Cambria Math" w:cs="Times New Roman"/>
              <w:sz w:val="24"/>
              <w:szCs w:val="24"/>
            </w:rPr>
            <m:t>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+heat⇄  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(g)           </m:t>
          </m:r>
        </m:oMath>
      </m:oMathPara>
    </w:p>
    <w:p w14:paraId="64B36B3E" w14:textId="39018D95" w:rsidR="00434425" w:rsidRPr="003B4FCE" w:rsidRDefault="00434425" w:rsidP="00434425">
      <w:pPr>
        <w:tabs>
          <w:tab w:val="left" w:pos="8460"/>
        </w:tabs>
        <w:spacing w:line="360" w:lineRule="auto"/>
        <w:ind w:right="26"/>
        <w:jc w:val="both"/>
        <w:rPr>
          <w:rFonts w:ascii="Times New Roman" w:hAnsi="Times New Roman" w:cs="Times New Roman"/>
          <w:sz w:val="24"/>
          <w:szCs w:val="24"/>
        </w:rPr>
      </w:pPr>
      <w:r>
        <w:rPr>
          <w:rFonts w:ascii="Times New Roman" w:hAnsi="Times New Roman" w:cs="Times New Roman"/>
          <w:sz w:val="24"/>
          <w:szCs w:val="24"/>
        </w:rPr>
        <w:t xml:space="preserve">            </w:t>
      </w:r>
      <w:r w:rsidRPr="003B4FCE">
        <w:rPr>
          <w:rFonts w:ascii="Times New Roman" w:hAnsi="Times New Roman" w:cs="Times New Roman"/>
          <w:sz w:val="24"/>
          <w:szCs w:val="24"/>
        </w:rPr>
        <w:t xml:space="preserve">The </w:t>
      </w:r>
      <w:r w:rsidRPr="003B4FCE">
        <w:rPr>
          <w:rFonts w:ascii="Times New Roman" w:hAnsi="Times New Roman" w:cs="Times New Roman"/>
          <w:sz w:val="24"/>
          <w:szCs w:val="24"/>
        </w:rPr>
        <w:t>interest in</w:t>
      </w:r>
      <w:r w:rsidRPr="003B4FCE">
        <w:rPr>
          <w:rFonts w:ascii="Times New Roman" w:hAnsi="Times New Roman" w:cs="Times New Roman"/>
          <w:sz w:val="24"/>
          <w:szCs w:val="24"/>
        </w:rPr>
        <w:t xml:space="preserve"> calcium chloride has been triggered </w:t>
      </w:r>
      <w:proofErr w:type="gramStart"/>
      <w:r w:rsidRPr="003B4FCE">
        <w:rPr>
          <w:rFonts w:ascii="Times New Roman" w:hAnsi="Times New Roman" w:cs="Times New Roman"/>
          <w:sz w:val="24"/>
          <w:szCs w:val="24"/>
        </w:rPr>
        <w:t>by:</w:t>
      </w:r>
      <w:proofErr w:type="gramEnd"/>
      <w:r w:rsidRPr="003B4FCE">
        <w:rPr>
          <w:rFonts w:ascii="Times New Roman" w:hAnsi="Times New Roman" w:cs="Times New Roman"/>
          <w:sz w:val="24"/>
          <w:szCs w:val="24"/>
        </w:rPr>
        <w:t xml:space="preserve"> easy availability and subsequently low price, high capacity for water uptake and energy storage density, relatively better chemical stability than other salt hydrates, low corrosiveness and </w:t>
      </w:r>
      <w:r w:rsidRPr="003B4FCE">
        <w:rPr>
          <w:rFonts w:ascii="Times New Roman" w:hAnsi="Times New Roman" w:cs="Times New Roman"/>
          <w:sz w:val="24"/>
          <w:szCs w:val="24"/>
        </w:rPr>
        <w:t>non-toxicity</w:t>
      </w:r>
      <w:r w:rsidRPr="003B4FCE">
        <w:rPr>
          <w:rFonts w:ascii="Times New Roman" w:hAnsi="Times New Roman" w:cs="Times New Roman"/>
          <w:sz w:val="24"/>
          <w:szCs w:val="24"/>
        </w:rPr>
        <w:t>. Furthermore, the material dehydrates at low temperature (below 100 °C), which makes it suitable for the applications.</w:t>
      </w:r>
    </w:p>
    <w:p w14:paraId="5E74FA38" w14:textId="0ACE65D9" w:rsidR="00434425" w:rsidRPr="003B4FCE"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The energy storage density is studied for the </w:t>
      </w:r>
      <w:r w:rsidRPr="003B4FCE">
        <w:rPr>
          <w:rFonts w:ascii="Times New Roman" w:hAnsi="Times New Roman" w:cs="Times New Roman"/>
          <w:sz w:val="24"/>
          <w:szCs w:val="24"/>
        </w:rPr>
        <w:t>four-calcium</w:t>
      </w:r>
      <w:r w:rsidRPr="003B4FCE">
        <w:rPr>
          <w:rFonts w:ascii="Times New Roman" w:hAnsi="Times New Roman" w:cs="Times New Roman"/>
          <w:sz w:val="24"/>
          <w:szCs w:val="24"/>
        </w:rPr>
        <w:t xml:space="preserve"> </w:t>
      </w:r>
      <w:r w:rsidRPr="003B4FCE">
        <w:rPr>
          <w:rFonts w:ascii="Times New Roman" w:hAnsi="Times New Roman" w:cs="Times New Roman"/>
          <w:sz w:val="24"/>
          <w:szCs w:val="24"/>
        </w:rPr>
        <w:t>chloride-based</w:t>
      </w:r>
      <w:r w:rsidRPr="003B4FCE">
        <w:rPr>
          <w:rFonts w:ascii="Times New Roman" w:hAnsi="Times New Roman" w:cs="Times New Roman"/>
          <w:sz w:val="24"/>
          <w:szCs w:val="24"/>
        </w:rPr>
        <w:t xml:space="preserve"> materials. The energy release for each sample during hydration from anhydrous to </w:t>
      </w:r>
      <w:proofErr w:type="spellStart"/>
      <w:r w:rsidRPr="003B4FCE">
        <w:rPr>
          <w:rFonts w:ascii="Times New Roman" w:hAnsi="Times New Roman" w:cs="Times New Roman"/>
          <w:sz w:val="24"/>
          <w:szCs w:val="24"/>
        </w:rPr>
        <w:t>hexahydrous</w:t>
      </w:r>
      <w:proofErr w:type="spellEnd"/>
      <w:r w:rsidRPr="003B4FCE">
        <w:rPr>
          <w:rFonts w:ascii="Times New Roman" w:hAnsi="Times New Roman" w:cs="Times New Roman"/>
          <w:sz w:val="24"/>
          <w:szCs w:val="24"/>
        </w:rPr>
        <w:t xml:space="preserve"> state was studied. The simultaneous thermal analysis method allows the estimation of the energy per mole of calcium chloride and per mole of absorbed water. Microencapsulated calcium chloride showed high multicyclic stability, compared with pure and impregnated</w:t>
      </w:r>
      <w:r>
        <w:rPr>
          <w:rFonts w:ascii="Times New Roman" w:hAnsi="Times New Roman" w:cs="Times New Roman"/>
          <w:sz w:val="24"/>
          <w:szCs w:val="24"/>
        </w:rPr>
        <w:t xml:space="preserve"> </w:t>
      </w:r>
      <w:r w:rsidRPr="003B4FCE">
        <w:rPr>
          <w:rFonts w:ascii="Times New Roman" w:hAnsi="Times New Roman" w:cs="Times New Roman"/>
          <w:sz w:val="24"/>
          <w:szCs w:val="24"/>
        </w:rPr>
        <w:t>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546024F3"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lastRenderedPageBreak/>
        <w:t>Ard-Jan de Jong (2016)</w:t>
      </w:r>
      <w:r w:rsidRPr="003B4FCE">
        <w:rPr>
          <w:rFonts w:ascii="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 as active material.</w:t>
      </w:r>
    </w:p>
    <w:p w14:paraId="4E0318E3" w14:textId="77777777" w:rsidR="00434425" w:rsidRDefault="00434425" w:rsidP="00434425">
      <w:pPr>
        <w:spacing w:line="360" w:lineRule="auto"/>
        <w:ind w:right="5" w:firstLine="720"/>
        <w:jc w:val="both"/>
        <w:rPr>
          <w:rFonts w:ascii="Times New Roman" w:eastAsia="Times New Roman" w:hAnsi="Times New Roman" w:cs="Times New Roman"/>
          <w:bCs/>
          <w:sz w:val="24"/>
          <w:szCs w:val="24"/>
          <w:lang w:val="en-US"/>
        </w:rPr>
      </w:pPr>
      <w:r w:rsidRPr="003B4FCE">
        <w:rPr>
          <w:rFonts w:ascii="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sidRPr="003B4FCE">
        <w:rPr>
          <w:rFonts w:ascii="Times New Roman" w:hAnsi="Times New Roman" w:cs="Times New Roman"/>
          <w:sz w:val="24"/>
          <w:szCs w:val="24"/>
          <w:vertAlign w:val="superscript"/>
        </w:rPr>
        <w:t>0</w:t>
      </w:r>
      <w:r w:rsidRPr="003B4FCE">
        <w:rPr>
          <w:rFonts w:ascii="Times New Roman" w:hAnsi="Times New Roman" w:cs="Times New Roman"/>
          <w:sz w:val="24"/>
          <w:szCs w:val="24"/>
        </w:rPr>
        <w:t>C) to reverse chemical reactions is an attractive solution, as the reaction products can be stored virtually loss-free.</w:t>
      </w:r>
    </w:p>
    <w:p w14:paraId="6AEBECF2"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sidRPr="003B4FCE">
        <w:rPr>
          <w:rFonts w:ascii="Times New Roman" w:hAnsi="Times New Roman" w:cs="Times New Roman"/>
          <w:sz w:val="24"/>
          <w:szCs w:val="24"/>
          <w:vertAlign w:val="superscript"/>
        </w:rPr>
        <w:t>3</w:t>
      </w:r>
      <w:r w:rsidRPr="003B4FCE">
        <w:rPr>
          <w:rFonts w:ascii="Times New Roman" w:hAnsi="Times New Roman" w:cs="Times New Roman"/>
          <w:sz w:val="24"/>
          <w:szCs w:val="24"/>
        </w:rPr>
        <w:t xml:space="preserve"> was achieved and they observed that it can expect to reach 0.18GJ/m</w:t>
      </w:r>
      <w:r w:rsidRPr="003B4FCE">
        <w:rPr>
          <w:rFonts w:ascii="Times New Roman" w:hAnsi="Times New Roman" w:cs="Times New Roman"/>
          <w:sz w:val="24"/>
          <w:szCs w:val="24"/>
          <w:vertAlign w:val="superscript"/>
        </w:rPr>
        <w:t>3</w:t>
      </w:r>
      <w:r w:rsidRPr="003B4FCE">
        <w:rPr>
          <w:rFonts w:ascii="Times New Roman" w:hAnsi="Times New Roman" w:cs="Times New Roman"/>
          <w:sz w:val="24"/>
          <w:szCs w:val="24"/>
        </w:rPr>
        <w:t xml:space="preserve"> for coming field tests. In this paper identified and </w:t>
      </w:r>
      <w:proofErr w:type="spellStart"/>
      <w:r w:rsidRPr="003B4FCE">
        <w:rPr>
          <w:rFonts w:ascii="Times New Roman" w:hAnsi="Times New Roman" w:cs="Times New Roman"/>
          <w:sz w:val="24"/>
          <w:szCs w:val="24"/>
        </w:rPr>
        <w:t>analyzed</w:t>
      </w:r>
      <w:proofErr w:type="spellEnd"/>
      <w:r w:rsidRPr="003B4FCE">
        <w:rPr>
          <w:rFonts w:ascii="Times New Roman" w:hAnsi="Times New Roman" w:cs="Times New Roman"/>
          <w:sz w:val="24"/>
          <w:szCs w:val="24"/>
        </w:rPr>
        <w:t xml:space="preserve"> several possible improvements and show that by mere optimization of the prototype fixed-bed reactor concept using Na</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 a heat storage density of approximately 1GJ/m</w:t>
      </w:r>
      <w:r w:rsidRPr="003B4FCE">
        <w:rPr>
          <w:rFonts w:ascii="Times New Roman" w:hAnsi="Times New Roman" w:cs="Times New Roman"/>
          <w:sz w:val="24"/>
          <w:szCs w:val="24"/>
          <w:vertAlign w:val="superscript"/>
        </w:rPr>
        <w:t>3</w:t>
      </w:r>
      <w:r w:rsidRPr="003B4FCE">
        <w:rPr>
          <w:rFonts w:ascii="Times New Roman" w:hAnsi="Times New Roman" w:cs="Times New Roman"/>
          <w:sz w:val="24"/>
          <w:szCs w:val="24"/>
        </w:rPr>
        <w:t xml:space="preserve"> can already be achieved.</w:t>
      </w:r>
    </w:p>
    <w:p w14:paraId="05164332"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 xml:space="preserve">Michael </w:t>
      </w:r>
      <w:proofErr w:type="gramStart"/>
      <w:r w:rsidRPr="003B4FCE">
        <w:rPr>
          <w:rFonts w:ascii="Times New Roman" w:hAnsi="Times New Roman" w:cs="Times New Roman"/>
          <w:b/>
          <w:bCs/>
          <w:sz w:val="24"/>
          <w:szCs w:val="24"/>
        </w:rPr>
        <w:t>Graham(</w:t>
      </w:r>
      <w:proofErr w:type="gramEnd"/>
      <w:r w:rsidRPr="003B4FCE">
        <w:rPr>
          <w:rFonts w:ascii="Times New Roman" w:hAnsi="Times New Roman" w:cs="Times New Roman"/>
          <w:b/>
          <w:bCs/>
          <w:sz w:val="24"/>
          <w:szCs w:val="24"/>
        </w:rPr>
        <w:t>2016)</w:t>
      </w:r>
      <w:r w:rsidRPr="003B4FCE">
        <w:rPr>
          <w:rFonts w:ascii="Times New Roman" w:hAnsi="Times New Roman" w:cs="Times New Roman"/>
          <w:sz w:val="24"/>
          <w:szCs w:val="24"/>
        </w:rPr>
        <w:t xml:space="preserve"> studied that thermal energy storage has many important applications, and is most efficiently achieved by latent heat storage using phase change materials (PCMs). Salt hydrates have advantages such as high energy storage density, high latent heat and </w:t>
      </w:r>
      <w:proofErr w:type="spellStart"/>
      <w:r w:rsidRPr="003B4FCE">
        <w:rPr>
          <w:rFonts w:ascii="Times New Roman" w:hAnsi="Times New Roman" w:cs="Times New Roman"/>
          <w:sz w:val="24"/>
          <w:szCs w:val="24"/>
        </w:rPr>
        <w:t>incombustability</w:t>
      </w:r>
      <w:proofErr w:type="spellEnd"/>
      <w:r w:rsidRPr="003B4FCE">
        <w:rPr>
          <w:rFonts w:ascii="Times New Roman" w:hAnsi="Times New Roman" w:cs="Times New Roman"/>
          <w:sz w:val="24"/>
          <w:szCs w:val="24"/>
        </w:rPr>
        <w:t xml:space="preserve">. However, they suffer from drawbacks such as incongruent melting and corrosion of metallic container materials. By encapsulating them in a polymer shell, problems can be eliminated. Here we demonstrate a simple method to </w:t>
      </w:r>
      <w:proofErr w:type="spellStart"/>
      <w:r w:rsidRPr="003B4FCE">
        <w:rPr>
          <w:rFonts w:ascii="Times New Roman" w:hAnsi="Times New Roman" w:cs="Times New Roman"/>
          <w:sz w:val="24"/>
          <w:szCs w:val="24"/>
        </w:rPr>
        <w:t>nanoencapsulate</w:t>
      </w:r>
      <w:proofErr w:type="spellEnd"/>
      <w:r w:rsidRPr="003B4FCE">
        <w:rPr>
          <w:rFonts w:ascii="Times New Roman" w:hAnsi="Times New Roman" w:cs="Times New Roman"/>
          <w:sz w:val="24"/>
          <w:szCs w:val="24"/>
        </w:rPr>
        <w:t xml:space="preserve"> magnesium nitrate </w:t>
      </w:r>
      <w:proofErr w:type="spellStart"/>
      <w:r w:rsidRPr="003B4FCE">
        <w:rPr>
          <w:rFonts w:ascii="Times New Roman" w:hAnsi="Times New Roman" w:cs="Times New Roman"/>
          <w:sz w:val="24"/>
          <w:szCs w:val="24"/>
        </w:rPr>
        <w:t>hexhydrate</w:t>
      </w:r>
      <w:proofErr w:type="spellEnd"/>
      <w:r w:rsidRPr="003B4FCE">
        <w:rPr>
          <w:rFonts w:ascii="Times New Roman" w:hAnsi="Times New Roman" w:cs="Times New Roman"/>
          <w:sz w:val="24"/>
          <w:szCs w:val="24"/>
        </w:rPr>
        <w:t xml:space="preserv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w:t>
      </w:r>
      <w:proofErr w:type="spellStart"/>
      <w:r w:rsidRPr="003B4FCE">
        <w:rPr>
          <w:rFonts w:ascii="Times New Roman" w:hAnsi="Times New Roman" w:cs="Times New Roman"/>
          <w:sz w:val="24"/>
          <w:szCs w:val="24"/>
        </w:rPr>
        <w:t>nanocapsules</w:t>
      </w:r>
      <w:proofErr w:type="spellEnd"/>
      <w:r w:rsidRPr="003B4FCE">
        <w:rPr>
          <w:rFonts w:ascii="Times New Roman" w:hAnsi="Times New Roman" w:cs="Times New Roman"/>
          <w:sz w:val="24"/>
          <w:szCs w:val="24"/>
        </w:rPr>
        <w:t xml:space="preserve">. Results showed the capsules are 100-200nm in size, have salt </w:t>
      </w:r>
      <w:r w:rsidRPr="003B4FCE">
        <w:rPr>
          <w:rFonts w:ascii="Times New Roman" w:hAnsi="Times New Roman" w:cs="Times New Roman"/>
          <w:sz w:val="24"/>
          <w:szCs w:val="24"/>
        </w:rPr>
        <w:lastRenderedPageBreak/>
        <w:t xml:space="preserve">hydrate located in the core and are stable over at least 100 thermal cycles with only a 3% reduction in latent heat. Supercooling is also drastically </w:t>
      </w:r>
      <w:r w:rsidRPr="003B4FCE">
        <w:rPr>
          <w:rFonts w:ascii="Times New Roman" w:hAnsi="Times New Roman" w:cs="Times New Roman"/>
          <w:sz w:val="24"/>
          <w:szCs w:val="24"/>
        </w:rPr>
        <w:t>reduced</w:t>
      </w:r>
      <w:r>
        <w:rPr>
          <w:rFonts w:ascii="Times New Roman" w:hAnsi="Times New Roman" w:cs="Times New Roman"/>
          <w:sz w:val="24"/>
          <w:szCs w:val="24"/>
        </w:rPr>
        <w:t>.</w:t>
      </w:r>
    </w:p>
    <w:p w14:paraId="06727656"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DSC results demonstrated for the first time high thermal stability of the </w:t>
      </w:r>
      <w:r w:rsidRPr="003B4FCE">
        <w:rPr>
          <w:rFonts w:ascii="Times New Roman" w:hAnsi="Times New Roman" w:cs="Times New Roman"/>
          <w:sz w:val="24"/>
          <w:szCs w:val="24"/>
        </w:rPr>
        <w:t>nano encapsulated</w:t>
      </w:r>
      <w:r w:rsidRPr="003B4FCE">
        <w:rPr>
          <w:rFonts w:ascii="Times New Roman" w:hAnsi="Times New Roman" w:cs="Times New Roman"/>
          <w:sz w:val="24"/>
          <w:szCs w:val="24"/>
        </w:rPr>
        <w:t xml:space="preserve"> salt hydrates, which remained unchanged after 100 thermal cycles with a latent heat of 83.2Jg</w:t>
      </w:r>
      <w:r w:rsidRPr="003B4FCE">
        <w:rPr>
          <w:rFonts w:ascii="Times New Roman" w:hAnsi="Times New Roman" w:cs="Times New Roman"/>
          <w:sz w:val="24"/>
          <w:szCs w:val="24"/>
          <w:vertAlign w:val="superscript"/>
        </w:rPr>
        <w:t>-1</w:t>
      </w:r>
      <w:r w:rsidRPr="003B4FCE">
        <w:rPr>
          <w:rFonts w:ascii="Times New Roman" w:hAnsi="Times New Roman" w:cs="Times New Roman"/>
          <w:sz w:val="24"/>
          <w:szCs w:val="24"/>
        </w:rPr>
        <w:t xml:space="preserve">. Chemical and macroscale stability of the </w:t>
      </w:r>
      <w:r w:rsidRPr="003B4FCE">
        <w:rPr>
          <w:rFonts w:ascii="Times New Roman" w:hAnsi="Times New Roman" w:cs="Times New Roman"/>
          <w:sz w:val="24"/>
          <w:szCs w:val="24"/>
        </w:rPr>
        <w:t>nano encapsulated</w:t>
      </w:r>
      <w:r w:rsidRPr="003B4FCE">
        <w:rPr>
          <w:rFonts w:ascii="Times New Roman" w:hAnsi="Times New Roman" w:cs="Times New Roman"/>
          <w:sz w:val="24"/>
          <w:szCs w:val="24"/>
        </w:rPr>
        <w:t xml:space="preserve"> salt hydrates were also proven by FTIR and visual observations after heating/cooling cycles. The thermal properties of the </w:t>
      </w:r>
      <w:r w:rsidRPr="003B4FCE">
        <w:rPr>
          <w:rFonts w:ascii="Times New Roman" w:hAnsi="Times New Roman" w:cs="Times New Roman"/>
          <w:sz w:val="24"/>
          <w:szCs w:val="24"/>
        </w:rPr>
        <w:t>nano capsules</w:t>
      </w:r>
      <w:r w:rsidRPr="003B4FCE">
        <w:rPr>
          <w:rFonts w:ascii="Times New Roman" w:hAnsi="Times New Roman" w:cs="Times New Roman"/>
          <w:sz w:val="24"/>
          <w:szCs w:val="24"/>
        </w:rPr>
        <w:t xml:space="preserve"> are a great improvement over the bulk </w:t>
      </w:r>
      <w:proofErr w:type="gramStart"/>
      <w:r w:rsidRPr="003B4FCE">
        <w:rPr>
          <w:rFonts w:ascii="Times New Roman" w:hAnsi="Times New Roman" w:cs="Times New Roman"/>
          <w:sz w:val="24"/>
          <w:szCs w:val="24"/>
        </w:rPr>
        <w:t>Mg(</w:t>
      </w:r>
      <w:proofErr w:type="gramEnd"/>
      <w:r w:rsidRPr="003B4FCE">
        <w:rPr>
          <w:rFonts w:ascii="Times New Roman" w:hAnsi="Times New Roman" w:cs="Times New Roman"/>
          <w:sz w:val="24"/>
          <w:szCs w:val="24"/>
        </w:rPr>
        <w:t>NO</w:t>
      </w:r>
      <w:r w:rsidRPr="003B4FCE">
        <w:rPr>
          <w:rFonts w:ascii="Times New Roman" w:hAnsi="Times New Roman" w:cs="Times New Roman"/>
          <w:sz w:val="24"/>
          <w:szCs w:val="24"/>
          <w:vertAlign w:val="subscript"/>
        </w:rPr>
        <w:t>3</w:t>
      </w:r>
      <w:r w:rsidRPr="003B4FCE">
        <w:rPr>
          <w:rFonts w:ascii="Times New Roman" w:hAnsi="Times New Roman" w:cs="Times New Roman"/>
          <w:sz w:val="24"/>
          <w:szCs w:val="24"/>
        </w:rPr>
        <w:t>)</w:t>
      </w:r>
      <w:r w:rsidRPr="003B4FCE">
        <w:rPr>
          <w:rFonts w:ascii="Times New Roman" w:hAnsi="Times New Roman" w:cs="Times New Roman"/>
          <w:sz w:val="24"/>
          <w:szCs w:val="24"/>
          <w:vertAlign w:val="subscript"/>
        </w:rPr>
        <w:t>2</w:t>
      </w:r>
      <w:r w:rsidRPr="003B4FCE">
        <w:rPr>
          <w:rFonts w:ascii="Cambria Math" w:hAnsi="Cambria Math" w:cs="Cambria Math"/>
          <w:sz w:val="24"/>
          <w:szCs w:val="24"/>
        </w:rPr>
        <w:t>⋅</w:t>
      </w:r>
      <w:r w:rsidRPr="003B4FCE">
        <w:rPr>
          <w:rFonts w:ascii="Times New Roman" w:hAnsi="Times New Roman" w:cs="Times New Roman"/>
          <w:sz w:val="24"/>
          <w:szCs w:val="24"/>
        </w:rPr>
        <w:t>6H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which loses its structural integrity and chemical </w:t>
      </w:r>
      <w:r>
        <w:rPr>
          <w:rFonts w:ascii="Times New Roman" w:hAnsi="Times New Roman" w:cs="Times New Roman"/>
          <w:sz w:val="24"/>
          <w:szCs w:val="24"/>
        </w:rPr>
        <w:t>composition after only 5 cycles.</w:t>
      </w:r>
    </w:p>
    <w:p w14:paraId="5D4961FC"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Salt hydrate PCMs with long lifetimes are important for future energy storage applications, due to their high heat capacity and cost effectiveness compared to commonly used paraffin wax PCMs. Efficient energy storage has the potential to greatly reduce global energy demand, providing a sustainable </w:t>
      </w:r>
      <w:r w:rsidRPr="003B4FCE">
        <w:rPr>
          <w:rFonts w:ascii="Times New Roman" w:hAnsi="Times New Roman" w:cs="Times New Roman"/>
          <w:sz w:val="24"/>
          <w:szCs w:val="24"/>
        </w:rPr>
        <w:t>future.</w:t>
      </w:r>
    </w:p>
    <w:p w14:paraId="73734AAC" w14:textId="5830A57C" w:rsidR="00434425" w:rsidRPr="003B4FCE"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Lin Liang (2017)</w:t>
      </w:r>
      <w:r w:rsidRPr="003B4FCE">
        <w:rPr>
          <w:rFonts w:ascii="Times New Roman" w:hAnsi="Times New Roman" w:cs="Times New Roman"/>
          <w:sz w:val="24"/>
          <w:szCs w:val="24"/>
        </w:rPr>
        <w:t xml:space="preserve"> studied that a new cold storage phase change material eutectic hydrate salt (K</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HPO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·3H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O–NaH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PO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·2H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O–Na</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w:t>
      </w:r>
      <w:r w:rsidRPr="003B4FCE">
        <w:rPr>
          <w:rFonts w:ascii="Times New Roman" w:hAnsi="Times New Roman" w:cs="Times New Roman"/>
          <w:sz w:val="24"/>
          <w:szCs w:val="24"/>
          <w:vertAlign w:val="subscript"/>
        </w:rPr>
        <w:t>3</w:t>
      </w:r>
      <w:r w:rsidRPr="003B4FCE">
        <w:rPr>
          <w:rFonts w:ascii="Times New Roman" w:hAnsi="Times New Roman" w:cs="Times New Roman"/>
          <w:sz w:val="24"/>
          <w:szCs w:val="24"/>
        </w:rPr>
        <w:t>·5H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w:r>
      <w:proofErr w:type="spellStart"/>
      <w:r w:rsidRPr="003B4FCE">
        <w:rPr>
          <w:rFonts w:ascii="Times New Roman" w:hAnsi="Times New Roman" w:cs="Times New Roman"/>
          <w:sz w:val="24"/>
          <w:szCs w:val="24"/>
        </w:rPr>
        <w:t>wt</w:t>
      </w:r>
      <w:proofErr w:type="spellEnd"/>
      <w:r w:rsidRPr="003B4FCE">
        <w:rPr>
          <w:rFonts w:ascii="Times New Roman" w:hAnsi="Times New Roman" w:cs="Times New Roman"/>
          <w:sz w:val="24"/>
          <w:szCs w:val="24"/>
        </w:rPr>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D4CFCC9"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 xml:space="preserve">Luca </w:t>
      </w:r>
      <w:proofErr w:type="spellStart"/>
      <w:r w:rsidRPr="003B4FCE">
        <w:rPr>
          <w:rFonts w:ascii="Times New Roman" w:hAnsi="Times New Roman" w:cs="Times New Roman"/>
          <w:b/>
          <w:bCs/>
          <w:sz w:val="24"/>
          <w:szCs w:val="24"/>
        </w:rPr>
        <w:t>Scapino</w:t>
      </w:r>
      <w:proofErr w:type="spellEnd"/>
      <w:r w:rsidRPr="003B4FCE">
        <w:rPr>
          <w:rFonts w:ascii="Times New Roman" w:hAnsi="Times New Roman" w:cs="Times New Roman"/>
          <w:b/>
          <w:bCs/>
          <w:sz w:val="24"/>
          <w:szCs w:val="24"/>
        </w:rPr>
        <w:t xml:space="preserve"> (2017) </w:t>
      </w:r>
      <w:r w:rsidRPr="003B4FCE">
        <w:rPr>
          <w:rFonts w:ascii="Times New Roman" w:hAnsi="Times New Roman" w:cs="Times New Roman"/>
          <w:sz w:val="24"/>
          <w:szCs w:val="24"/>
        </w:rPr>
        <w:t>studied that</w:t>
      </w:r>
      <w:r w:rsidRPr="003B4FCE">
        <w:rPr>
          <w:rFonts w:ascii="Times New Roman" w:hAnsi="Times New Roman" w:cs="Times New Roman"/>
          <w:b/>
          <w:bCs/>
          <w:sz w:val="24"/>
          <w:szCs w:val="24"/>
        </w:rPr>
        <w:t xml:space="preserve"> </w:t>
      </w:r>
      <w:r w:rsidRPr="003B4FCE">
        <w:rPr>
          <w:rFonts w:ascii="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sidRPr="003B4FCE">
        <w:rPr>
          <w:rFonts w:ascii="Times New Roman" w:hAnsi="Times New Roman" w:cs="Times New Roman"/>
          <w:sz w:val="24"/>
          <w:szCs w:val="24"/>
          <w:vertAlign w:val="superscript"/>
        </w:rPr>
        <w:t>0</w:t>
      </w:r>
      <w:r w:rsidRPr="003B4FCE">
        <w:rPr>
          <w:rFonts w:ascii="Times New Roman" w:hAnsi="Times New Roman" w:cs="Times New Roman"/>
          <w:sz w:val="24"/>
          <w:szCs w:val="24"/>
        </w:rPr>
        <w:t>C such as space heating, domestic hot water production, and some industrial processes.</w:t>
      </w:r>
    </w:p>
    <w:p w14:paraId="210C8AA3"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Thermal energy storage is an attractive storage category because in principle it can be more economical than other technologies, it has a wide range of storage possibilities with storage periods ranging from minutes to months, and finally because thermal energy dominates </w:t>
      </w:r>
      <w:r w:rsidRPr="003B4FCE">
        <w:rPr>
          <w:rFonts w:ascii="Times New Roman" w:hAnsi="Times New Roman" w:cs="Times New Roman"/>
          <w:sz w:val="24"/>
          <w:szCs w:val="24"/>
        </w:rPr>
        <w:lastRenderedPageBreak/>
        <w:t>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r>
        <w:rPr>
          <w:rFonts w:ascii="Times New Roman" w:hAnsi="Times New Roman" w:cs="Times New Roman"/>
          <w:sz w:val="24"/>
          <w:szCs w:val="24"/>
        </w:rPr>
        <w:t>.</w:t>
      </w:r>
    </w:p>
    <w:p w14:paraId="0749C7B3"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w:t>
      </w:r>
      <w:proofErr w:type="gramStart"/>
      <w:r w:rsidRPr="003B4FCE">
        <w:rPr>
          <w:rFonts w:ascii="Times New Roman" w:hAnsi="Times New Roman" w:cs="Times New Roman"/>
          <w:sz w:val="24"/>
          <w:szCs w:val="24"/>
        </w:rPr>
        <w:t>deliquescence</w:t>
      </w:r>
      <w:proofErr w:type="gramEnd"/>
      <w:r w:rsidRPr="003B4FCE">
        <w:rPr>
          <w:rFonts w:ascii="Times New Roman" w:hAnsi="Times New Roman" w:cs="Times New Roman"/>
          <w:sz w:val="24"/>
          <w:szCs w:val="24"/>
        </w:rPr>
        <w:t xml:space="preserve"> and leakage of the salt from the composite, and degradation. To this regard, further research is needed to overcome these problems and to understand extensively the kinetics of a composite material, which does not follow a typical </w:t>
      </w:r>
      <w:proofErr w:type="spellStart"/>
      <w:r w:rsidRPr="003B4FCE">
        <w:rPr>
          <w:rFonts w:ascii="Times New Roman" w:hAnsi="Times New Roman" w:cs="Times New Roman"/>
          <w:sz w:val="24"/>
          <w:szCs w:val="24"/>
        </w:rPr>
        <w:t>behavior</w:t>
      </w:r>
      <w:proofErr w:type="spellEnd"/>
      <w:r w:rsidRPr="003B4FCE">
        <w:rPr>
          <w:rFonts w:ascii="Times New Roman" w:hAnsi="Times New Roman" w:cs="Times New Roman"/>
          <w:sz w:val="24"/>
          <w:szCs w:val="24"/>
        </w:rPr>
        <w:t xml:space="preserve"> of a salt hydrate nor of an adsorbent. Various prototype reactors and systems were developed by the scientific community to study the performances of sorption materials at macro-scale. Open and closed solid sorption systems have been </w:t>
      </w:r>
      <w:proofErr w:type="spellStart"/>
      <w:r w:rsidRPr="003B4FCE">
        <w:rPr>
          <w:rFonts w:ascii="Times New Roman" w:hAnsi="Times New Roman" w:cs="Times New Roman"/>
          <w:sz w:val="24"/>
          <w:szCs w:val="24"/>
        </w:rPr>
        <w:t>analyzed</w:t>
      </w:r>
      <w:proofErr w:type="spellEnd"/>
      <w:r w:rsidRPr="003B4FCE">
        <w:rPr>
          <w:rFonts w:ascii="Times New Roman" w:hAnsi="Times New Roman" w:cs="Times New Roman"/>
          <w:sz w:val="24"/>
          <w:szCs w:val="24"/>
        </w:rPr>
        <w:t xml:space="preserve">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1235753" w14:textId="77777777" w:rsidR="00434425" w:rsidRDefault="00434425" w:rsidP="00434425">
      <w:pPr>
        <w:spacing w:line="360" w:lineRule="auto"/>
        <w:ind w:right="5" w:firstLine="720"/>
        <w:jc w:val="both"/>
        <w:rPr>
          <w:rFonts w:ascii="Times New Roman" w:hAnsi="Times New Roman" w:cs="Times New Roman"/>
          <w:sz w:val="24"/>
          <w:szCs w:val="24"/>
        </w:rPr>
      </w:pPr>
      <w:proofErr w:type="spellStart"/>
      <w:r w:rsidRPr="003B4FCE">
        <w:rPr>
          <w:rFonts w:ascii="Times New Roman" w:hAnsi="Times New Roman" w:cs="Times New Roman"/>
          <w:b/>
          <w:bCs/>
          <w:sz w:val="24"/>
          <w:szCs w:val="24"/>
        </w:rPr>
        <w:t>Dongdong</w:t>
      </w:r>
      <w:proofErr w:type="spellEnd"/>
      <w:r w:rsidRPr="003B4FCE">
        <w:rPr>
          <w:rFonts w:ascii="Times New Roman" w:hAnsi="Times New Roman" w:cs="Times New Roman"/>
          <w:b/>
          <w:bCs/>
          <w:sz w:val="24"/>
          <w:szCs w:val="24"/>
        </w:rPr>
        <w:t xml:space="preserve"> Li (2018) </w:t>
      </w:r>
      <w:r w:rsidRPr="003B4FCE">
        <w:rPr>
          <w:rFonts w:ascii="Times New Roman" w:hAnsi="Times New Roman" w:cs="Times New Roman"/>
          <w:sz w:val="24"/>
          <w:szCs w:val="24"/>
        </w:rPr>
        <w:t xml:space="preserve">studied on the development of a multi-temperature thermodynamically consistent model for </w:t>
      </w:r>
      <w:proofErr w:type="gramStart"/>
      <w:r w:rsidRPr="003B4FCE">
        <w:rPr>
          <w:rFonts w:ascii="Times New Roman" w:hAnsi="Times New Roman" w:cs="Times New Roman"/>
          <w:sz w:val="24"/>
          <w:szCs w:val="24"/>
        </w:rPr>
        <w:t>salt lake</w:t>
      </w:r>
      <w:proofErr w:type="gramEnd"/>
      <w:r w:rsidRPr="003B4FCE">
        <w:rPr>
          <w:rFonts w:ascii="Times New Roman" w:hAnsi="Times New Roman" w:cs="Times New Roman"/>
          <w:sz w:val="24"/>
          <w:szCs w:val="24"/>
        </w:rPr>
        <w:t xml:space="preserve"> brine systems. Under the comprehensive thermodynamic framework proposed in his previous work, the thermodynamic and phase equilibria properties of the </w:t>
      </w:r>
      <w:proofErr w:type="spellStart"/>
      <w:r w:rsidRPr="003B4FCE">
        <w:rPr>
          <w:rFonts w:ascii="Times New Roman" w:hAnsi="Times New Roman" w:cs="Times New Roman"/>
          <w:sz w:val="24"/>
          <w:szCs w:val="24"/>
        </w:rPr>
        <w:t>sulfate</w:t>
      </w:r>
      <w:proofErr w:type="spellEnd"/>
      <w:r w:rsidRPr="003B4FCE">
        <w:rPr>
          <w:rFonts w:ascii="Times New Roman" w:hAnsi="Times New Roman" w:cs="Times New Roman"/>
          <w:sz w:val="24"/>
          <w:szCs w:val="24"/>
        </w:rPr>
        <w:t xml:space="preserve"> binary systems (i.e., Li</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Na</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SO</w:t>
      </w:r>
      <w:r w:rsidRPr="003B4FCE">
        <w:rPr>
          <w:rFonts w:ascii="Times New Roman" w:hAnsi="Times New Roman" w:cs="Times New Roman"/>
          <w:sz w:val="24"/>
          <w:szCs w:val="24"/>
          <w:vertAlign w:val="subscript"/>
        </w:rPr>
        <w:t xml:space="preserve">4 </w:t>
      </w:r>
      <w:r w:rsidRPr="003B4FCE">
        <w:rPr>
          <w:rFonts w:ascii="Times New Roman" w:hAnsi="Times New Roman" w:cs="Times New Roman"/>
          <w:sz w:val="24"/>
          <w:szCs w:val="24"/>
        </w:rPr>
        <w:t>+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K</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MgSO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and CaSO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2F69F53D" w14:textId="7E74C7D6" w:rsidR="00434425" w:rsidRPr="003B4FCE"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 xml:space="preserve">Farzad </w:t>
      </w:r>
      <w:proofErr w:type="spellStart"/>
      <w:r w:rsidRPr="003B4FCE">
        <w:rPr>
          <w:rFonts w:ascii="Times New Roman" w:hAnsi="Times New Roman" w:cs="Times New Roman"/>
          <w:b/>
          <w:bCs/>
          <w:sz w:val="24"/>
          <w:szCs w:val="24"/>
        </w:rPr>
        <w:t>Deyhimi</w:t>
      </w:r>
      <w:proofErr w:type="spellEnd"/>
      <w:r w:rsidRPr="003B4FCE">
        <w:rPr>
          <w:rFonts w:ascii="Times New Roman" w:hAnsi="Times New Roman" w:cs="Times New Roman"/>
          <w:b/>
          <w:bCs/>
          <w:sz w:val="24"/>
          <w:szCs w:val="24"/>
        </w:rPr>
        <w:t xml:space="preserve"> (2009) </w:t>
      </w:r>
      <w:r w:rsidRPr="003B4FCE">
        <w:rPr>
          <w:rFonts w:ascii="Times New Roman" w:hAnsi="Times New Roman" w:cs="Times New Roman"/>
          <w:sz w:val="24"/>
          <w:szCs w:val="24"/>
        </w:rPr>
        <w:t xml:space="preserve">studied the use of Pitzer, PSC as well as an extended PSC ion-interaction approaches for modelling the non-ideal </w:t>
      </w:r>
      <w:proofErr w:type="spellStart"/>
      <w:r w:rsidRPr="003B4FCE">
        <w:rPr>
          <w:rFonts w:ascii="Times New Roman" w:hAnsi="Times New Roman" w:cs="Times New Roman"/>
          <w:sz w:val="24"/>
          <w:szCs w:val="24"/>
        </w:rPr>
        <w:t>behavior</w:t>
      </w:r>
      <w:proofErr w:type="spellEnd"/>
      <w:r w:rsidRPr="003B4FCE">
        <w:rPr>
          <w:rFonts w:ascii="Times New Roman" w:hAnsi="Times New Roman" w:cs="Times New Roman"/>
          <w:sz w:val="24"/>
          <w:szCs w:val="24"/>
        </w:rPr>
        <w:t xml:space="preserve"> of the ternary HCl + water + 1- propanol systems. These modelling purposes were achieved based on the experimental potentiometric data of a galvanic cell containing a pH glass membrane and Ag/AgCl electrodes. </w:t>
      </w:r>
      <w:r w:rsidRPr="003B4FCE">
        <w:rPr>
          <w:rFonts w:ascii="Times New Roman" w:hAnsi="Times New Roman" w:cs="Times New Roman"/>
          <w:sz w:val="24"/>
          <w:szCs w:val="24"/>
        </w:rPr>
        <w:lastRenderedPageBreak/>
        <w:t>The measurements were performed over the HCl electrolyte molality ranging from 0.01 up to 4.5 mol kg</w:t>
      </w:r>
      <w:r w:rsidRPr="003B4FCE">
        <w:rPr>
          <w:rFonts w:ascii="Times New Roman" w:hAnsi="Times New Roman" w:cs="Times New Roman"/>
          <w:sz w:val="24"/>
          <w:szCs w:val="24"/>
          <w:vertAlign w:val="superscript"/>
        </w:rPr>
        <w:t xml:space="preserve">−1 </w:t>
      </w:r>
      <w:r w:rsidRPr="003B4FCE">
        <w:rPr>
          <w:rFonts w:ascii="Times New Roman" w:hAnsi="Times New Roman" w:cs="Times New Roman"/>
          <w:sz w:val="24"/>
          <w:szCs w:val="24"/>
        </w:rPr>
        <w:t>system with different alcohol percent mass fractions (x% = 10, 20, 30, 40 and 50%), at 298.15 ± 0.05 K</w:t>
      </w:r>
    </w:p>
    <w:p w14:paraId="0EF1F603" w14:textId="77777777" w:rsidR="00434425" w:rsidRPr="003B4FCE"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Pitzer semi-empirical virial coefficient approach has been remarkably successful in </w:t>
      </w:r>
      <w:proofErr w:type="spellStart"/>
      <w:r w:rsidRPr="003B4FCE">
        <w:rPr>
          <w:rFonts w:ascii="Times New Roman" w:hAnsi="Times New Roman" w:cs="Times New Roman"/>
          <w:sz w:val="24"/>
          <w:szCs w:val="24"/>
        </w:rPr>
        <w:t>modeling</w:t>
      </w:r>
      <w:proofErr w:type="spellEnd"/>
      <w:r w:rsidRPr="003B4FCE">
        <w:rPr>
          <w:rFonts w:ascii="Times New Roman" w:hAnsi="Times New Roman" w:cs="Times New Roman"/>
          <w:sz w:val="24"/>
          <w:szCs w:val="24"/>
        </w:rPr>
        <w:t xml:space="preserve">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w:t>
      </w:r>
      <w:proofErr w:type="spellStart"/>
      <w:r w:rsidRPr="003B4FCE">
        <w:rPr>
          <w:rFonts w:ascii="Times New Roman" w:hAnsi="Times New Roman" w:cs="Times New Roman"/>
          <w:sz w:val="24"/>
          <w:szCs w:val="24"/>
        </w:rPr>
        <w:t>modeling</w:t>
      </w:r>
      <w:proofErr w:type="spellEnd"/>
      <w:r w:rsidRPr="003B4FCE">
        <w:rPr>
          <w:rFonts w:ascii="Times New Roman" w:hAnsi="Times New Roman" w:cs="Times New Roman"/>
          <w:sz w:val="24"/>
          <w:szCs w:val="24"/>
        </w:rPr>
        <w:t xml:space="preserve"> such systems. Pitzer and Simonson (PS) developed a newer model as well that is applicable over the entire concentration range for the investigation of mixtures containing ions of symmetrical charge type.</w:t>
      </w:r>
    </w:p>
    <w:p w14:paraId="73778FB1" w14:textId="77777777" w:rsidR="00434425" w:rsidRPr="003B4FCE"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 xml:space="preserve">Both experimental potentiometric data along with the related model parameters associated with Pitzer, PSC, and an extended PSC approaches concerning the investigation of the ternary HCl + 1- </w:t>
      </w:r>
      <w:proofErr w:type="spellStart"/>
      <w:r w:rsidRPr="003B4FCE">
        <w:rPr>
          <w:rFonts w:ascii="Times New Roman" w:hAnsi="Times New Roman" w:cs="Times New Roman"/>
          <w:sz w:val="24"/>
          <w:szCs w:val="24"/>
        </w:rPr>
        <w:t>PrOH</w:t>
      </w:r>
      <w:proofErr w:type="spellEnd"/>
      <w:r w:rsidRPr="003B4FCE">
        <w:rPr>
          <w:rFonts w:ascii="Times New Roman" w:hAnsi="Times New Roman" w:cs="Times New Roman"/>
          <w:sz w:val="24"/>
          <w:szCs w:val="24"/>
        </w:rPr>
        <w:t xml:space="preserve"> + water electrolyte system, are for the first time reported in his work.</w:t>
      </w:r>
    </w:p>
    <w:p w14:paraId="7EB975AA"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 xml:space="preserve">Edilson C. Tavares (1999) </w:t>
      </w:r>
      <w:r w:rsidRPr="003B4FCE">
        <w:rPr>
          <w:rFonts w:ascii="Times New Roman" w:hAnsi="Times New Roman" w:cs="Times New Roman"/>
          <w:sz w:val="24"/>
          <w:szCs w:val="24"/>
        </w:rPr>
        <w:t xml:space="preserve">studied the solid-liquid equilibrium in aqueous multi-electrolyte systems using the </w:t>
      </w:r>
      <w:proofErr w:type="spellStart"/>
      <w:r w:rsidRPr="003B4FCE">
        <w:rPr>
          <w:rFonts w:ascii="Times New Roman" w:hAnsi="Times New Roman" w:cs="Times New Roman"/>
          <w:sz w:val="24"/>
          <w:szCs w:val="24"/>
        </w:rPr>
        <w:t>quasiisothermic</w:t>
      </w:r>
      <w:proofErr w:type="spellEnd"/>
      <w:r w:rsidRPr="003B4FCE">
        <w:rPr>
          <w:rFonts w:ascii="Times New Roman" w:hAnsi="Times New Roman" w:cs="Times New Roman"/>
          <w:sz w:val="24"/>
          <w:szCs w:val="24"/>
        </w:rPr>
        <w:t xml:space="preserve"> thermometric technique (QTT). The principle of the QTT is based on thermal effects associated with the phase transformations that occur in the system. In order to test the apparatus, salt solubility data at 298.15 K for the aqueous systems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O+NaCl+KCl,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O+NaCl+Na</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O+NiCl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+NiSO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721AACA8" w14:textId="77777777"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+NiSO</w:t>
      </w:r>
      <w:r w:rsidRPr="003B4FCE">
        <w:rPr>
          <w:rFonts w:ascii="Times New Roman" w:hAnsi="Times New Roman" w:cs="Times New Roman"/>
          <w:sz w:val="24"/>
          <w:szCs w:val="24"/>
          <w:vertAlign w:val="subscript"/>
        </w:rPr>
        <w:t>4</w:t>
      </w:r>
      <w:r w:rsidRPr="003B4FCE">
        <w:rPr>
          <w:rFonts w:ascii="Times New Roman" w:hAnsi="Times New Roman" w:cs="Times New Roman"/>
          <w:sz w:val="24"/>
          <w:szCs w:val="24"/>
        </w:rPr>
        <w:t>+H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at 298.15 K</w:t>
      </w:r>
      <w:r>
        <w:rPr>
          <w:rFonts w:ascii="Times New Roman" w:hAnsi="Times New Roman" w:cs="Times New Roman"/>
          <w:sz w:val="24"/>
          <w:szCs w:val="24"/>
        </w:rPr>
        <w:t>.</w:t>
      </w:r>
    </w:p>
    <w:p w14:paraId="197FF23A" w14:textId="77777777" w:rsidR="00434425" w:rsidRDefault="00434425" w:rsidP="00434425">
      <w:pPr>
        <w:spacing w:line="360" w:lineRule="auto"/>
        <w:ind w:right="5" w:firstLine="720"/>
        <w:jc w:val="both"/>
        <w:rPr>
          <w:rFonts w:ascii="Times New Roman" w:hAnsi="Times New Roman" w:cs="Times New Roman"/>
          <w:sz w:val="24"/>
          <w:szCs w:val="24"/>
        </w:rPr>
      </w:pPr>
      <w:proofErr w:type="spellStart"/>
      <w:r w:rsidRPr="003B4FCE">
        <w:rPr>
          <w:rFonts w:ascii="Times New Roman" w:hAnsi="Times New Roman" w:cs="Times New Roman"/>
          <w:b/>
          <w:bCs/>
          <w:sz w:val="24"/>
          <w:szCs w:val="24"/>
        </w:rPr>
        <w:t>Huinan</w:t>
      </w:r>
      <w:proofErr w:type="spellEnd"/>
      <w:r w:rsidRPr="003B4FCE">
        <w:rPr>
          <w:rFonts w:ascii="Times New Roman" w:hAnsi="Times New Roman" w:cs="Times New Roman"/>
          <w:b/>
          <w:bCs/>
          <w:sz w:val="24"/>
          <w:szCs w:val="24"/>
        </w:rPr>
        <w:t xml:space="preserve"> Wang (2020)</w:t>
      </w:r>
      <w:r w:rsidRPr="003B4FCE">
        <w:rPr>
          <w:rFonts w:ascii="Times New Roman" w:hAnsi="Times New Roman" w:cs="Times New Roman"/>
          <w:sz w:val="24"/>
          <w:szCs w:val="24"/>
        </w:rPr>
        <w:t xml:space="preserve"> Vapor–liquid equilibrium (VLE) data and </w:t>
      </w:r>
      <w:proofErr w:type="spellStart"/>
      <w:r w:rsidRPr="003B4FCE">
        <w:rPr>
          <w:rFonts w:ascii="Times New Roman" w:hAnsi="Times New Roman" w:cs="Times New Roman"/>
          <w:sz w:val="24"/>
          <w:szCs w:val="24"/>
        </w:rPr>
        <w:t>modeling</w:t>
      </w:r>
      <w:proofErr w:type="spellEnd"/>
      <w:r w:rsidRPr="003B4FCE">
        <w:rPr>
          <w:rFonts w:ascii="Times New Roman" w:hAnsi="Times New Roman" w:cs="Times New Roman"/>
          <w:sz w:val="24"/>
          <w:szCs w:val="24"/>
        </w:rPr>
        <w:t xml:space="preserve"> for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and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are reported in this paper. This work focuses on the experimental determination of the boiling point of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and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H2O solutions with vapor pressures between 6 and 101.3 kPa and the total molality of salt ranging from 0 to 21.05 molkg</w:t>
      </w:r>
      <w:r w:rsidRPr="003B4FCE">
        <w:rPr>
          <w:rFonts w:ascii="Times New Roman" w:hAnsi="Times New Roman" w:cs="Times New Roman"/>
          <w:sz w:val="24"/>
          <w:szCs w:val="24"/>
          <w:vertAlign w:val="superscript"/>
        </w:rPr>
        <w:t>−</w:t>
      </w:r>
      <w:proofErr w:type="gramStart"/>
      <w:r w:rsidRPr="003B4FCE">
        <w:rPr>
          <w:rFonts w:ascii="Times New Roman" w:hAnsi="Times New Roman" w:cs="Times New Roman"/>
          <w:sz w:val="24"/>
          <w:szCs w:val="24"/>
          <w:vertAlign w:val="superscript"/>
        </w:rPr>
        <w:t>1</w:t>
      </w:r>
      <w:r w:rsidRPr="003B4FCE">
        <w:rPr>
          <w:rFonts w:ascii="Times New Roman" w:hAnsi="Times New Roman" w:cs="Times New Roman"/>
          <w:sz w:val="24"/>
          <w:szCs w:val="24"/>
        </w:rPr>
        <w:t xml:space="preserve"> .</w:t>
      </w:r>
      <w:proofErr w:type="gramEnd"/>
      <w:r w:rsidRPr="003B4FCE">
        <w:rPr>
          <w:rFonts w:ascii="Times New Roman" w:hAnsi="Times New Roman" w:cs="Times New Roman"/>
          <w:sz w:val="24"/>
          <w:szCs w:val="24"/>
        </w:rPr>
        <w:t xml:space="preserve"> The procedures were carried out in a computer-controlled glass apparatus. The relationship between the boiling point and saturated vapor pressure is obtained, and Xu’s model </w:t>
      </w:r>
      <w:r w:rsidRPr="003B4FCE">
        <w:rPr>
          <w:rFonts w:ascii="Times New Roman" w:hAnsi="Times New Roman" w:cs="Times New Roman"/>
          <w:sz w:val="24"/>
          <w:szCs w:val="24"/>
        </w:rPr>
        <w:lastRenderedPageBreak/>
        <w:t xml:space="preserve">is used to correlate and predict the VLE. By correlation of the data (literature and experimental) for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and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the parameters are obtained. e compared the results with the </w:t>
      </w:r>
      <w:proofErr w:type="spellStart"/>
      <w:r w:rsidRPr="003B4FCE">
        <w:rPr>
          <w:rFonts w:ascii="Times New Roman" w:hAnsi="Times New Roman" w:cs="Times New Roman"/>
          <w:sz w:val="24"/>
          <w:szCs w:val="24"/>
        </w:rPr>
        <w:t>ElecNRTL</w:t>
      </w:r>
      <w:proofErr w:type="spellEnd"/>
      <w:r w:rsidRPr="003B4FCE">
        <w:rPr>
          <w:rFonts w:ascii="Times New Roman" w:hAnsi="Times New Roman" w:cs="Times New Roman"/>
          <w:sz w:val="24"/>
          <w:szCs w:val="24"/>
        </w:rPr>
        <w:t xml:space="preserve"> model and Pitzer model. The parameters for the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O, and </w:t>
      </w:r>
      <w:proofErr w:type="spellStart"/>
      <w:r w:rsidRPr="003B4FCE">
        <w:rPr>
          <w:rFonts w:ascii="Times New Roman" w:hAnsi="Times New Roman" w:cs="Times New Roman"/>
          <w:sz w:val="24"/>
          <w:szCs w:val="24"/>
        </w:rPr>
        <w:t>LiBr</w:t>
      </w:r>
      <w:proofErr w:type="spellEnd"/>
      <w:r w:rsidRPr="003B4FCE">
        <w:rPr>
          <w:rFonts w:ascii="Times New Roman" w:hAnsi="Times New Roman" w:cs="Times New Roman"/>
          <w:sz w:val="24"/>
          <w:szCs w:val="24"/>
        </w:rPr>
        <w:t xml:space="preserve"> +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systems can be successfully used to calculate and predict the VLE data</w:t>
      </w:r>
      <w:r>
        <w:rPr>
          <w:rFonts w:ascii="Times New Roman" w:hAnsi="Times New Roman" w:cs="Times New Roman"/>
          <w:sz w:val="24"/>
          <w:szCs w:val="24"/>
        </w:rPr>
        <w:t>.</w:t>
      </w:r>
    </w:p>
    <w:p w14:paraId="383432E5" w14:textId="2A2B6805" w:rsidR="00434425" w:rsidRDefault="00434425" w:rsidP="00434425">
      <w:pPr>
        <w:spacing w:line="360" w:lineRule="auto"/>
        <w:ind w:right="5" w:firstLine="720"/>
        <w:jc w:val="both"/>
        <w:rPr>
          <w:rFonts w:ascii="Times New Roman" w:hAnsi="Times New Roman" w:cs="Times New Roman"/>
          <w:sz w:val="24"/>
          <w:szCs w:val="24"/>
        </w:rPr>
      </w:pPr>
      <w:r w:rsidRPr="003B4FCE">
        <w:rPr>
          <w:rFonts w:ascii="Times New Roman" w:hAnsi="Times New Roman" w:cs="Times New Roman"/>
          <w:b/>
          <w:bCs/>
          <w:sz w:val="24"/>
          <w:szCs w:val="24"/>
        </w:rPr>
        <w:t xml:space="preserve">Christoph Rathgeber (2019) </w:t>
      </w:r>
      <w:r w:rsidRPr="003B4FCE">
        <w:rPr>
          <w:rFonts w:ascii="Times New Roman" w:hAnsi="Times New Roman" w:cs="Times New Roman"/>
          <w:sz w:val="24"/>
          <w:szCs w:val="24"/>
        </w:rPr>
        <w:t xml:space="preserve">In this work, the modified BET equations are extended in order to calculate solubility phase diagrams of concentrated salt solutions with relatively </w:t>
      </w:r>
      <w:r w:rsidRPr="003B4FCE">
        <w:rPr>
          <w:rFonts w:ascii="Times New Roman" w:hAnsi="Times New Roman" w:cs="Times New Roman"/>
          <w:sz w:val="24"/>
          <w:szCs w:val="24"/>
        </w:rPr>
        <w:t>high-water</w:t>
      </w:r>
      <w:r w:rsidRPr="003B4FCE">
        <w:rPr>
          <w:rFonts w:ascii="Times New Roman" w:hAnsi="Times New Roman" w:cs="Times New Roman"/>
          <w:sz w:val="24"/>
          <w:szCs w:val="24"/>
        </w:rPr>
        <w:t xml:space="preserve"> activities within the range of undersaturation.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w:t>
      </w:r>
      <w:proofErr w:type="gramStart"/>
      <w:r w:rsidRPr="003B4FCE">
        <w:rPr>
          <w:rFonts w:ascii="Times New Roman" w:hAnsi="Times New Roman" w:cs="Times New Roman"/>
          <w:sz w:val="24"/>
          <w:szCs w:val="24"/>
        </w:rPr>
        <w:t>storage .</w:t>
      </w:r>
      <w:proofErr w:type="gramEnd"/>
      <w:r w:rsidRPr="003B4FCE">
        <w:rPr>
          <w:rFonts w:ascii="Times New Roman" w:hAnsi="Times New Roman" w:cs="Times New Roman"/>
          <w:sz w:val="24"/>
          <w:szCs w:val="24"/>
        </w:rPr>
        <w:t xml:space="preserve"> As an example, BET parameters of NaCl are determined and applied to calculate solubility phase diagrams of NaCl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NaCl + LiCl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and NaCl + CaCl</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 xml:space="preserve"> + H</w:t>
      </w:r>
      <w:r w:rsidRPr="003B4FCE">
        <w:rPr>
          <w:rFonts w:ascii="Times New Roman" w:hAnsi="Times New Roman" w:cs="Times New Roman"/>
          <w:sz w:val="24"/>
          <w:szCs w:val="24"/>
          <w:vertAlign w:val="subscript"/>
        </w:rPr>
        <w:t>2</w:t>
      </w:r>
      <w:r w:rsidRPr="003B4FCE">
        <w:rPr>
          <w:rFonts w:ascii="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2EA88244" w14:textId="119A3602" w:rsidR="00434425" w:rsidRDefault="00434425">
      <w:pPr>
        <w:rPr>
          <w:rFonts w:ascii="Times New Roman" w:hAnsi="Times New Roman" w:cs="Times New Roman"/>
          <w:sz w:val="24"/>
          <w:szCs w:val="24"/>
        </w:rPr>
      </w:pPr>
      <w:r>
        <w:rPr>
          <w:rFonts w:ascii="Times New Roman" w:hAnsi="Times New Roman" w:cs="Times New Roman"/>
          <w:sz w:val="24"/>
          <w:szCs w:val="24"/>
        </w:rPr>
        <w:br w:type="page"/>
      </w:r>
    </w:p>
    <w:p w14:paraId="3874BBAD" w14:textId="77777777" w:rsidR="00434425" w:rsidRDefault="00434425" w:rsidP="00434425">
      <w:pPr>
        <w:spacing w:line="360" w:lineRule="auto"/>
        <w:ind w:right="5"/>
        <w:jc w:val="both"/>
        <w:rPr>
          <w:rFonts w:ascii="Times New Roman" w:hAnsi="Times New Roman" w:cs="Times New Roman"/>
          <w:b/>
          <w:bCs/>
          <w:sz w:val="24"/>
          <w:szCs w:val="24"/>
        </w:rPr>
      </w:pPr>
      <w:r w:rsidRPr="00434425">
        <w:rPr>
          <w:rFonts w:ascii="Times New Roman" w:hAnsi="Times New Roman" w:cs="Times New Roman"/>
          <w:b/>
          <w:bCs/>
          <w:sz w:val="24"/>
          <w:szCs w:val="24"/>
        </w:rPr>
        <w:lastRenderedPageBreak/>
        <w:t>2.2 Various Models Available</w:t>
      </w:r>
    </w:p>
    <w:p w14:paraId="487EED5F" w14:textId="6C4F4771" w:rsidR="00434425" w:rsidRPr="00434425" w:rsidRDefault="00434425" w:rsidP="00434425">
      <w:pPr>
        <w:spacing w:line="360" w:lineRule="auto"/>
        <w:ind w:right="5" w:firstLine="720"/>
        <w:jc w:val="both"/>
        <w:rPr>
          <w:rFonts w:ascii="Times New Roman" w:hAnsi="Times New Roman" w:cs="Times New Roman"/>
          <w:b/>
          <w:bCs/>
          <w:sz w:val="24"/>
          <w:szCs w:val="24"/>
        </w:rPr>
      </w:pPr>
      <w:r w:rsidRPr="003B4FCE">
        <w:rPr>
          <w:rFonts w:ascii="Times New Roman" w:eastAsia="Times New Roman" w:hAnsi="Times New Roman" w:cs="Times New Roman"/>
          <w:sz w:val="24"/>
          <w:szCs w:val="24"/>
          <w:lang w:val="en-US"/>
        </w:rPr>
        <w:t>Various Thermodynamic models are studied from literature</w:t>
      </w:r>
      <w:r w:rsidRPr="003B4FCE">
        <w:rPr>
          <w:rFonts w:ascii="Times New Roman" w:eastAsia="Times New Roman" w:hAnsi="Times New Roman" w:cs="Times New Roman"/>
          <w:bCs/>
          <w:sz w:val="24"/>
          <w:szCs w:val="24"/>
          <w:lang w:val="en-US"/>
        </w:rPr>
        <w:t>.</w:t>
      </w:r>
    </w:p>
    <w:p w14:paraId="64739203" w14:textId="604FF77D" w:rsidR="00434425" w:rsidRDefault="00434425" w:rsidP="00434425">
      <w:pPr>
        <w:pStyle w:val="ListParagraph"/>
        <w:numPr>
          <w:ilvl w:val="0"/>
          <w:numId w:val="1"/>
        </w:numPr>
        <w:ind w:right="5"/>
        <w:jc w:val="both"/>
        <w:rPr>
          <w:rFonts w:ascii="Times New Roman" w:hAnsi="Times New Roman" w:cs="Times New Roman"/>
          <w:b/>
          <w:bCs/>
          <w:sz w:val="24"/>
          <w:szCs w:val="24"/>
          <w:lang w:val="en-US"/>
        </w:rPr>
      </w:pPr>
      <w:bookmarkStart w:id="0" w:name="_Toc85899047"/>
      <w:r w:rsidRPr="00434425">
        <w:rPr>
          <w:rFonts w:ascii="Times New Roman" w:hAnsi="Times New Roman" w:cs="Times New Roman"/>
          <w:b/>
          <w:bCs/>
          <w:sz w:val="24"/>
          <w:szCs w:val="24"/>
          <w:lang w:val="en-US"/>
        </w:rPr>
        <w:t>Debye–</w:t>
      </w:r>
      <w:proofErr w:type="spellStart"/>
      <w:r w:rsidRPr="00434425">
        <w:rPr>
          <w:rFonts w:ascii="Times New Roman" w:hAnsi="Times New Roman" w:cs="Times New Roman"/>
          <w:b/>
          <w:bCs/>
          <w:sz w:val="24"/>
          <w:szCs w:val="24"/>
          <w:lang w:val="en-US"/>
        </w:rPr>
        <w:t>Hückel</w:t>
      </w:r>
      <w:proofErr w:type="spellEnd"/>
      <w:r w:rsidRPr="00434425">
        <w:rPr>
          <w:rFonts w:ascii="Times New Roman" w:hAnsi="Times New Roman" w:cs="Times New Roman"/>
          <w:b/>
          <w:bCs/>
          <w:sz w:val="24"/>
          <w:szCs w:val="24"/>
          <w:lang w:val="en-US"/>
        </w:rPr>
        <w:t xml:space="preserve"> equation</w:t>
      </w:r>
      <w:bookmarkEnd w:id="0"/>
      <w:r>
        <w:rPr>
          <w:rFonts w:ascii="Times New Roman" w:hAnsi="Times New Roman" w:cs="Times New Roman"/>
          <w:b/>
          <w:bCs/>
          <w:sz w:val="24"/>
          <w:szCs w:val="24"/>
          <w:lang w:val="en-US"/>
        </w:rPr>
        <w:t>:</w:t>
      </w:r>
    </w:p>
    <w:p w14:paraId="3F00FB30" w14:textId="69CFD036" w:rsidR="00434425" w:rsidRPr="00434425" w:rsidRDefault="00434425" w:rsidP="00434425">
      <w:pPr>
        <w:pStyle w:val="ListParagraph"/>
        <w:spacing w:line="360" w:lineRule="auto"/>
        <w:ind w:right="5" w:firstLine="720"/>
        <w:jc w:val="both"/>
        <w:rPr>
          <w:rFonts w:ascii="Times New Roman" w:hAnsi="Times New Roman" w:cs="Times New Roman"/>
          <w:b/>
          <w:bCs/>
          <w:sz w:val="24"/>
          <w:szCs w:val="24"/>
          <w:lang w:val="en-US"/>
        </w:rPr>
      </w:pPr>
      <w:r w:rsidRPr="00434425">
        <w:rPr>
          <w:rFonts w:ascii="Times New Roman" w:eastAsia="Times New Roman" w:hAnsi="Times New Roman" w:cs="Times New Roman"/>
          <w:sz w:val="24"/>
          <w:szCs w:val="24"/>
          <w:lang w:val="en-US"/>
        </w:rPr>
        <w:t xml:space="preserve">The Debye </w:t>
      </w:r>
      <w:proofErr w:type="spellStart"/>
      <w:r w:rsidRPr="00434425">
        <w:rPr>
          <w:rFonts w:ascii="Times New Roman" w:eastAsia="Times New Roman" w:hAnsi="Times New Roman" w:cs="Times New Roman"/>
          <w:sz w:val="24"/>
          <w:szCs w:val="24"/>
          <w:lang w:val="en-US"/>
        </w:rPr>
        <w:t>Hückel</w:t>
      </w:r>
      <w:proofErr w:type="spellEnd"/>
      <w:r w:rsidRPr="00434425">
        <w:rPr>
          <w:rFonts w:ascii="Times New Roman" w:eastAsia="Times New Roman" w:hAnsi="Times New Roman" w:cs="Times New Roman"/>
          <w:sz w:val="24"/>
          <w:szCs w:val="24"/>
          <w:lang w:val="en-US"/>
        </w:rPr>
        <w:t xml:space="preserve"> equation is a mathematical expression developed to explain certain properties of electrolyte solutions, or substances found in solutions in the form of charged particles (ions). The Debye </w:t>
      </w:r>
      <w:proofErr w:type="spellStart"/>
      <w:r w:rsidRPr="00434425">
        <w:rPr>
          <w:rFonts w:ascii="Times New Roman" w:eastAsia="Times New Roman" w:hAnsi="Times New Roman" w:cs="Times New Roman"/>
          <w:sz w:val="24"/>
          <w:szCs w:val="24"/>
          <w:lang w:val="en-US"/>
        </w:rPr>
        <w:t>Hückel</w:t>
      </w:r>
      <w:proofErr w:type="spellEnd"/>
      <w:r w:rsidRPr="00434425">
        <w:rPr>
          <w:rFonts w:ascii="Times New Roman" w:eastAsia="Times New Roman" w:hAnsi="Times New Roman" w:cs="Times New Roman"/>
          <w:sz w:val="24"/>
          <w:szCs w:val="24"/>
          <w:lang w:val="en-US"/>
        </w:rPr>
        <w:t xml:space="preserve"> equation accounts for the interactions between the different ions, which are the primary cause of differences between the properties of dilute electrolyte solutions and those of so-called ideal solutions.</w:t>
      </w:r>
      <w:r w:rsidRPr="00434425">
        <w:rPr>
          <w:rFonts w:ascii="Times New Roman" w:eastAsia="Times New Roman" w:hAnsi="Times New Roman" w:cs="Times New Roman"/>
          <w:sz w:val="24"/>
          <w:szCs w:val="24"/>
          <w:lang w:val="en-US"/>
        </w:rPr>
        <w:t xml:space="preserve"> </w:t>
      </w:r>
      <w:r w:rsidRPr="00434425">
        <w:rPr>
          <w:rFonts w:ascii="Times New Roman" w:eastAsia="Times New Roman" w:hAnsi="Times New Roman" w:cs="Times New Roman"/>
          <w:sz w:val="24"/>
          <w:szCs w:val="24"/>
          <w:lang w:val="en-US"/>
        </w:rPr>
        <w:t>The Debye-</w:t>
      </w:r>
      <w:proofErr w:type="spellStart"/>
      <w:r w:rsidRPr="00434425">
        <w:rPr>
          <w:rFonts w:ascii="Times New Roman" w:eastAsia="Times New Roman" w:hAnsi="Times New Roman" w:cs="Times New Roman"/>
          <w:sz w:val="24"/>
          <w:szCs w:val="24"/>
          <w:lang w:val="en-US"/>
        </w:rPr>
        <w:t>Hückel</w:t>
      </w:r>
      <w:proofErr w:type="spellEnd"/>
      <w:r w:rsidRPr="00434425">
        <w:rPr>
          <w:rFonts w:ascii="Times New Roman" w:eastAsia="Times New Roman" w:hAnsi="Times New Roman" w:cs="Times New Roman"/>
          <w:sz w:val="24"/>
          <w:szCs w:val="24"/>
          <w:lang w:val="en-US"/>
        </w:rPr>
        <w:t xml:space="preserve"> theory is based on three assumptions of how ions act in solution:</w:t>
      </w:r>
    </w:p>
    <w:p w14:paraId="23B1394E" w14:textId="512DF56B" w:rsidR="00434425" w:rsidRPr="003B4FCE" w:rsidRDefault="00434425" w:rsidP="00434425">
      <w:pPr>
        <w:numPr>
          <w:ilvl w:val="0"/>
          <w:numId w:val="2"/>
        </w:numPr>
        <w:spacing w:after="0" w:line="360" w:lineRule="auto"/>
        <w:ind w:left="0" w:right="5" w:firstLine="720"/>
        <w:jc w:val="both"/>
        <w:rPr>
          <w:rFonts w:ascii="Times New Roman" w:eastAsia="Times New Roman" w:hAnsi="Times New Roman" w:cs="Times New Roman"/>
          <w:sz w:val="24"/>
          <w:szCs w:val="24"/>
          <w:lang w:val="en-US"/>
        </w:rPr>
      </w:pPr>
      <w:r w:rsidRPr="003B4FCE">
        <w:rPr>
          <w:rFonts w:ascii="Times New Roman" w:eastAsia="Times New Roman" w:hAnsi="Times New Roman" w:cs="Times New Roman"/>
          <w:sz w:val="24"/>
          <w:szCs w:val="24"/>
          <w:lang w:val="en-US"/>
        </w:rPr>
        <w:t xml:space="preserve">Electrolytes completely dissociate into ions in </w:t>
      </w:r>
      <w:r w:rsidRPr="003B4FCE">
        <w:rPr>
          <w:rFonts w:ascii="Times New Roman" w:eastAsia="Times New Roman" w:hAnsi="Times New Roman" w:cs="Times New Roman"/>
          <w:sz w:val="24"/>
          <w:szCs w:val="24"/>
          <w:lang w:val="en-US"/>
        </w:rPr>
        <w:t>solution.</w:t>
      </w:r>
    </w:p>
    <w:p w14:paraId="60F02925" w14:textId="5371B260" w:rsidR="00434425" w:rsidRPr="003B4FCE" w:rsidRDefault="00434425" w:rsidP="00434425">
      <w:pPr>
        <w:numPr>
          <w:ilvl w:val="0"/>
          <w:numId w:val="2"/>
        </w:numPr>
        <w:spacing w:after="0" w:line="360" w:lineRule="auto"/>
        <w:ind w:left="0" w:right="5" w:firstLine="720"/>
        <w:jc w:val="both"/>
        <w:rPr>
          <w:rFonts w:ascii="Times New Roman" w:eastAsia="Times New Roman" w:hAnsi="Times New Roman" w:cs="Times New Roman"/>
          <w:sz w:val="24"/>
          <w:szCs w:val="24"/>
          <w:lang w:val="en-US"/>
        </w:rPr>
      </w:pPr>
      <w:r w:rsidRPr="003B4FCE">
        <w:rPr>
          <w:rFonts w:ascii="Times New Roman" w:eastAsia="Times New Roman" w:hAnsi="Times New Roman" w:cs="Times New Roman"/>
          <w:sz w:val="24"/>
          <w:szCs w:val="24"/>
          <w:lang w:val="en-US"/>
        </w:rPr>
        <w:t xml:space="preserve">Solutions of Electrolytes are very dilute, on the order of 0.01 </w:t>
      </w:r>
      <w:r w:rsidRPr="003B4FCE">
        <w:rPr>
          <w:rFonts w:ascii="Times New Roman" w:eastAsia="Times New Roman" w:hAnsi="Times New Roman" w:cs="Times New Roman"/>
          <w:sz w:val="24"/>
          <w:szCs w:val="24"/>
          <w:lang w:val="en-US"/>
        </w:rPr>
        <w:t>M.</w:t>
      </w:r>
    </w:p>
    <w:p w14:paraId="7867590A" w14:textId="27E5147D" w:rsidR="00434425" w:rsidRDefault="00434425" w:rsidP="00434425">
      <w:pPr>
        <w:numPr>
          <w:ilvl w:val="0"/>
          <w:numId w:val="2"/>
        </w:numPr>
        <w:spacing w:after="0" w:line="360" w:lineRule="auto"/>
        <w:ind w:left="0" w:right="5" w:firstLine="720"/>
        <w:jc w:val="both"/>
        <w:rPr>
          <w:rFonts w:ascii="Times New Roman" w:eastAsia="Times New Roman" w:hAnsi="Times New Roman" w:cs="Times New Roman"/>
          <w:sz w:val="24"/>
          <w:szCs w:val="24"/>
          <w:lang w:val="en-US"/>
        </w:rPr>
      </w:pPr>
      <w:r w:rsidRPr="003B4FCE">
        <w:rPr>
          <w:rFonts w:ascii="Times New Roman" w:eastAsia="Times New Roman" w:hAnsi="Times New Roman" w:cs="Times New Roman"/>
          <w:sz w:val="24"/>
          <w:szCs w:val="24"/>
          <w:lang w:val="en-US"/>
        </w:rPr>
        <w:t xml:space="preserve">Each ion is surrounded by ions of the opposite charge, on </w:t>
      </w:r>
      <w:r w:rsidRPr="003B4FCE">
        <w:rPr>
          <w:rFonts w:ascii="Times New Roman" w:eastAsia="Times New Roman" w:hAnsi="Times New Roman" w:cs="Times New Roman"/>
          <w:sz w:val="24"/>
          <w:szCs w:val="24"/>
          <w:lang w:val="en-US"/>
        </w:rPr>
        <w:t>average.</w:t>
      </w:r>
    </w:p>
    <w:p w14:paraId="1201A50A" w14:textId="77777777" w:rsidR="00095D7E" w:rsidRDefault="00095D7E" w:rsidP="00095D7E">
      <w:pPr>
        <w:spacing w:after="0" w:line="360" w:lineRule="auto"/>
        <w:ind w:left="720" w:right="5"/>
        <w:jc w:val="both"/>
        <w:rPr>
          <w:rFonts w:ascii="Times New Roman" w:eastAsia="Times New Roman" w:hAnsi="Times New Roman" w:cs="Times New Roman"/>
          <w:sz w:val="24"/>
          <w:szCs w:val="24"/>
          <w:lang w:val="en-US"/>
        </w:rPr>
      </w:pPr>
    </w:p>
    <w:p w14:paraId="3E4E0631" w14:textId="77777777" w:rsidR="00434425" w:rsidRDefault="00434425" w:rsidP="00434425">
      <w:pPr>
        <w:pStyle w:val="ListParagraph"/>
        <w:numPr>
          <w:ilvl w:val="0"/>
          <w:numId w:val="1"/>
        </w:numPr>
        <w:spacing w:after="0" w:line="360" w:lineRule="auto"/>
        <w:ind w:right="5"/>
        <w:jc w:val="both"/>
        <w:rPr>
          <w:rFonts w:ascii="Times New Roman" w:eastAsia="Times New Roman" w:hAnsi="Times New Roman" w:cs="Times New Roman"/>
          <w:b/>
          <w:bCs/>
          <w:sz w:val="24"/>
          <w:szCs w:val="24"/>
          <w:lang w:val="en-US"/>
        </w:rPr>
      </w:pPr>
      <w:r w:rsidRPr="00434425">
        <w:rPr>
          <w:rFonts w:ascii="Times New Roman" w:eastAsia="Times New Roman" w:hAnsi="Times New Roman" w:cs="Times New Roman"/>
          <w:b/>
          <w:bCs/>
          <w:sz w:val="24"/>
          <w:szCs w:val="24"/>
          <w:lang w:val="en-US"/>
        </w:rPr>
        <w:t>Davies Equation:</w:t>
      </w:r>
    </w:p>
    <w:p w14:paraId="0FFECE41" w14:textId="5740B334" w:rsidR="00434425" w:rsidRDefault="00434425" w:rsidP="00434425">
      <w:pPr>
        <w:pStyle w:val="ListParagraph"/>
        <w:spacing w:after="0" w:line="360" w:lineRule="auto"/>
        <w:ind w:right="5" w:firstLine="720"/>
        <w:jc w:val="both"/>
        <w:rPr>
          <w:rFonts w:ascii="Times New Roman" w:eastAsia="Times New Roman" w:hAnsi="Times New Roman" w:cs="Times New Roman"/>
          <w:sz w:val="24"/>
          <w:szCs w:val="24"/>
          <w:lang w:val="en-US"/>
        </w:rPr>
      </w:pPr>
      <w:proofErr w:type="gramStart"/>
      <w:r w:rsidRPr="00434425">
        <w:rPr>
          <w:rFonts w:ascii="Times New Roman" w:eastAsia="Times New Roman" w:hAnsi="Times New Roman" w:cs="Times New Roman"/>
          <w:sz w:val="24"/>
          <w:szCs w:val="24"/>
          <w:lang w:val="en-US"/>
        </w:rPr>
        <w:t>Davies</w:t>
      </w:r>
      <w:proofErr w:type="gramEnd"/>
      <w:r w:rsidRPr="00434425">
        <w:rPr>
          <w:rFonts w:ascii="Times New Roman" w:eastAsia="Times New Roman" w:hAnsi="Times New Roman" w:cs="Times New Roman"/>
          <w:sz w:val="24"/>
          <w:szCs w:val="24"/>
          <w:lang w:val="en-US"/>
        </w:rPr>
        <w:t xml:space="preserve"> equation is useful at ionic strengths up to 0.5M, making it a better choice than the </w:t>
      </w:r>
      <w:proofErr w:type="spellStart"/>
      <w:r w:rsidRPr="00434425">
        <w:rPr>
          <w:rFonts w:ascii="Times New Roman" w:eastAsia="Times New Roman" w:hAnsi="Times New Roman" w:cs="Times New Roman"/>
          <w:sz w:val="24"/>
          <w:szCs w:val="24"/>
          <w:lang w:val="en-US"/>
        </w:rPr>
        <w:t>Deybe-Huckel</w:t>
      </w:r>
      <w:proofErr w:type="spellEnd"/>
      <w:r w:rsidRPr="00434425">
        <w:rPr>
          <w:rFonts w:ascii="Times New Roman" w:eastAsia="Times New Roman" w:hAnsi="Times New Roman" w:cs="Times New Roman"/>
          <w:sz w:val="24"/>
          <w:szCs w:val="24"/>
          <w:lang w:val="en-US"/>
        </w:rPr>
        <w:t xml:space="preserve"> Model, </w:t>
      </w:r>
      <w:proofErr w:type="gramStart"/>
      <w:r w:rsidRPr="00434425">
        <w:rPr>
          <w:rFonts w:ascii="Times New Roman" w:eastAsia="Times New Roman" w:hAnsi="Times New Roman" w:cs="Times New Roman"/>
          <w:sz w:val="24"/>
          <w:szCs w:val="24"/>
          <w:lang w:val="en-US"/>
        </w:rPr>
        <w:t>It</w:t>
      </w:r>
      <w:proofErr w:type="gramEnd"/>
      <w:r w:rsidRPr="00434425">
        <w:rPr>
          <w:rFonts w:ascii="Times New Roman" w:eastAsia="Times New Roman" w:hAnsi="Times New Roman" w:cs="Times New Roman"/>
          <w:sz w:val="24"/>
          <w:szCs w:val="24"/>
          <w:lang w:val="en-US"/>
        </w:rPr>
        <w:t xml:space="preserve"> makes better calculation in concentrated solutions than </w:t>
      </w:r>
      <w:proofErr w:type="spellStart"/>
      <w:r w:rsidRPr="00434425">
        <w:rPr>
          <w:rFonts w:ascii="Times New Roman" w:eastAsia="Times New Roman" w:hAnsi="Times New Roman" w:cs="Times New Roman"/>
          <w:sz w:val="24"/>
          <w:szCs w:val="24"/>
          <w:lang w:val="en-US"/>
        </w:rPr>
        <w:t>Deybe-Huckel</w:t>
      </w:r>
      <w:proofErr w:type="spellEnd"/>
      <w:r w:rsidRPr="00434425">
        <w:rPr>
          <w:rFonts w:ascii="Times New Roman" w:eastAsia="Times New Roman" w:hAnsi="Times New Roman" w:cs="Times New Roman"/>
          <w:sz w:val="24"/>
          <w:szCs w:val="24"/>
          <w:lang w:val="en-US"/>
        </w:rPr>
        <w:t xml:space="preserve"> Model. This equation was originally published in 1938.The </w:t>
      </w:r>
      <w:proofErr w:type="gramStart"/>
      <w:r w:rsidRPr="00434425">
        <w:rPr>
          <w:rFonts w:ascii="Times New Roman" w:eastAsia="Times New Roman" w:hAnsi="Times New Roman" w:cs="Times New Roman"/>
          <w:sz w:val="24"/>
          <w:szCs w:val="24"/>
          <w:lang w:val="en-US"/>
        </w:rPr>
        <w:t>calculation gets</w:t>
      </w:r>
      <w:proofErr w:type="gramEnd"/>
      <w:r w:rsidRPr="00434425">
        <w:rPr>
          <w:rFonts w:ascii="Times New Roman" w:eastAsia="Times New Roman" w:hAnsi="Times New Roman" w:cs="Times New Roman"/>
          <w:sz w:val="24"/>
          <w:szCs w:val="24"/>
          <w:lang w:val="en-US"/>
        </w:rPr>
        <w:t xml:space="preserve"> deviated from experiment for electrolytes that disassociate into ions with higher </w:t>
      </w:r>
      <w:r w:rsidRPr="00434425">
        <w:rPr>
          <w:rFonts w:ascii="Times New Roman" w:eastAsia="Times New Roman" w:hAnsi="Times New Roman" w:cs="Times New Roman"/>
          <w:sz w:val="24"/>
          <w:szCs w:val="24"/>
          <w:lang w:val="en-US"/>
        </w:rPr>
        <w:t>charges.</w:t>
      </w:r>
    </w:p>
    <w:p w14:paraId="37A429EF" w14:textId="77777777" w:rsidR="00095D7E" w:rsidRPr="00434425" w:rsidRDefault="00095D7E" w:rsidP="00434425">
      <w:pPr>
        <w:pStyle w:val="ListParagraph"/>
        <w:spacing w:after="0" w:line="360" w:lineRule="auto"/>
        <w:ind w:right="5" w:firstLine="720"/>
        <w:jc w:val="both"/>
        <w:rPr>
          <w:rFonts w:ascii="Times New Roman" w:eastAsia="Times New Roman" w:hAnsi="Times New Roman" w:cs="Times New Roman"/>
          <w:b/>
          <w:bCs/>
          <w:sz w:val="24"/>
          <w:szCs w:val="24"/>
          <w:lang w:val="en-US"/>
        </w:rPr>
      </w:pPr>
    </w:p>
    <w:p w14:paraId="17D433BB" w14:textId="49F20317" w:rsidR="00434425" w:rsidRDefault="00434425" w:rsidP="00434425">
      <w:pPr>
        <w:pStyle w:val="ListParagraph"/>
        <w:numPr>
          <w:ilvl w:val="0"/>
          <w:numId w:val="1"/>
        </w:numPr>
        <w:spacing w:after="0" w:line="360" w:lineRule="auto"/>
        <w:ind w:right="5"/>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Pitzer:</w:t>
      </w:r>
    </w:p>
    <w:p w14:paraId="63849120" w14:textId="06ABFC59" w:rsidR="00434425" w:rsidRPr="00434425" w:rsidRDefault="00434425" w:rsidP="00434425">
      <w:pPr>
        <w:pStyle w:val="ListParagraph"/>
        <w:spacing w:line="321" w:lineRule="auto"/>
        <w:ind w:right="5" w:firstLine="720"/>
        <w:jc w:val="both"/>
        <w:rPr>
          <w:rFonts w:ascii="Times New Roman" w:eastAsia="Times New Roman" w:hAnsi="Times New Roman" w:cs="Times New Roman"/>
          <w:sz w:val="24"/>
          <w:szCs w:val="24"/>
          <w:lang w:val="en-US"/>
        </w:rPr>
      </w:pPr>
      <w:r w:rsidRPr="00434425">
        <w:rPr>
          <w:rFonts w:ascii="Times New Roman" w:eastAsia="Times New Roman" w:hAnsi="Times New Roman" w:cs="Times New Roman"/>
          <w:sz w:val="24"/>
          <w:szCs w:val="24"/>
          <w:lang w:val="en-US"/>
        </w:rPr>
        <w:t xml:space="preserve">Pitzer equations were first introduced by physical chemist </w:t>
      </w:r>
      <w:r w:rsidRPr="00434425">
        <w:rPr>
          <w:rFonts w:ascii="Times New Roman" w:eastAsia="Times New Roman" w:hAnsi="Times New Roman" w:cs="Times New Roman"/>
          <w:sz w:val="24"/>
          <w:szCs w:val="24"/>
          <w:u w:val="single"/>
          <w:lang w:val="en-US"/>
        </w:rPr>
        <w:t>Kenneth Pitzer</w:t>
      </w:r>
      <w:r w:rsidRPr="00434425">
        <w:rPr>
          <w:rFonts w:ascii="Times New Roman" w:eastAsia="Times New Roman" w:hAnsi="Times New Roman" w:cs="Times New Roman"/>
          <w:sz w:val="24"/>
          <w:szCs w:val="24"/>
          <w:lang w:val="en-US"/>
        </w:rPr>
        <w:t xml:space="preserve">. The parameters of Pitzer equations are linear combination of </w:t>
      </w:r>
      <w:r w:rsidRPr="00434425">
        <w:rPr>
          <w:rFonts w:ascii="Times New Roman" w:eastAsia="Times New Roman" w:hAnsi="Times New Roman" w:cs="Times New Roman"/>
          <w:sz w:val="24"/>
          <w:szCs w:val="24"/>
          <w:lang w:val="en-US"/>
        </w:rPr>
        <w:t>parameters</w:t>
      </w:r>
      <w:r w:rsidRPr="00434425">
        <w:rPr>
          <w:rFonts w:ascii="Times New Roman" w:eastAsia="Times New Roman" w:hAnsi="Times New Roman" w:cs="Times New Roman"/>
          <w:sz w:val="24"/>
          <w:szCs w:val="24"/>
          <w:lang w:val="en-US"/>
        </w:rPr>
        <w:t xml:space="preserve"> which differentiate amongst ions and </w:t>
      </w:r>
      <w:proofErr w:type="gramStart"/>
      <w:r w:rsidRPr="00434425">
        <w:rPr>
          <w:rFonts w:ascii="Times New Roman" w:eastAsia="Times New Roman" w:hAnsi="Times New Roman" w:cs="Times New Roman"/>
          <w:sz w:val="24"/>
          <w:szCs w:val="24"/>
          <w:lang w:val="en-US"/>
        </w:rPr>
        <w:t>solvent</w:t>
      </w:r>
      <w:proofErr w:type="gramEnd"/>
      <w:r w:rsidRPr="00434425">
        <w:rPr>
          <w:rFonts w:ascii="Times New Roman" w:eastAsia="Times New Roman" w:hAnsi="Times New Roman" w:cs="Times New Roman"/>
          <w:sz w:val="24"/>
          <w:szCs w:val="24"/>
          <w:lang w:val="en-US"/>
        </w:rPr>
        <w:t xml:space="preserve">. The parameters are derived from various experimental data such as activity data and salt solubility. The equations are made of an extended </w:t>
      </w:r>
      <w:proofErr w:type="spellStart"/>
      <w:r w:rsidRPr="00434425">
        <w:rPr>
          <w:rFonts w:ascii="Times New Roman" w:eastAsia="Times New Roman" w:hAnsi="Times New Roman" w:cs="Times New Roman"/>
          <w:sz w:val="24"/>
          <w:szCs w:val="24"/>
          <w:lang w:val="en-US"/>
        </w:rPr>
        <w:t>Deybe-Huckel</w:t>
      </w:r>
      <w:proofErr w:type="spellEnd"/>
      <w:r w:rsidRPr="00434425">
        <w:rPr>
          <w:rFonts w:ascii="Times New Roman" w:eastAsia="Times New Roman" w:hAnsi="Times New Roman" w:cs="Times New Roman"/>
          <w:sz w:val="24"/>
          <w:szCs w:val="24"/>
          <w:lang w:val="en-US"/>
        </w:rPr>
        <w:t xml:space="preserve"> limiting law and a virial expansion.</w:t>
      </w:r>
      <w:r w:rsidRPr="00434425">
        <w:rPr>
          <w:rFonts w:ascii="Times New Roman" w:hAnsi="Times New Roman" w:cs="Times New Roman"/>
          <w:sz w:val="24"/>
          <w:szCs w:val="24"/>
        </w:rPr>
        <w:t xml:space="preserve"> </w:t>
      </w:r>
      <w:r w:rsidRPr="00434425">
        <w:rPr>
          <w:rFonts w:ascii="Times New Roman" w:eastAsia="Times New Roman" w:hAnsi="Times New Roman" w:cs="Times New Roman"/>
          <w:sz w:val="24"/>
          <w:szCs w:val="24"/>
        </w:rPr>
        <w:t xml:space="preserve">Pitzer equations are based on an ion interaction approach, where strong interactions are treated as ion pair </w:t>
      </w:r>
      <w:r w:rsidRPr="00434425">
        <w:rPr>
          <w:rFonts w:ascii="Times New Roman" w:eastAsia="Times New Roman" w:hAnsi="Times New Roman" w:cs="Times New Roman"/>
          <w:sz w:val="24"/>
          <w:szCs w:val="24"/>
        </w:rPr>
        <w:t>formation,</w:t>
      </w:r>
      <w:r w:rsidRPr="00434425">
        <w:rPr>
          <w:rFonts w:ascii="Times New Roman" w:eastAsia="Times New Roman" w:hAnsi="Times New Roman" w:cs="Times New Roman"/>
          <w:sz w:val="24"/>
          <w:szCs w:val="24"/>
        </w:rPr>
        <w:t xml:space="preserve"> but weaker interactions are treated as ion-ion interactions that contribute to the respective </w:t>
      </w:r>
      <w:r w:rsidRPr="00434425">
        <w:rPr>
          <w:rFonts w:ascii="Times New Roman" w:eastAsia="Times New Roman" w:hAnsi="Times New Roman" w:cs="Times New Roman"/>
          <w:sz w:val="24"/>
          <w:szCs w:val="24"/>
        </w:rPr>
        <w:t>ions’</w:t>
      </w:r>
      <w:r w:rsidRPr="00434425">
        <w:rPr>
          <w:rFonts w:ascii="Times New Roman" w:eastAsia="Times New Roman" w:hAnsi="Times New Roman" w:cs="Times New Roman"/>
          <w:sz w:val="24"/>
          <w:szCs w:val="24"/>
        </w:rPr>
        <w:t xml:space="preserve"> activity </w:t>
      </w:r>
      <w:r w:rsidRPr="00434425">
        <w:rPr>
          <w:rFonts w:ascii="Times New Roman" w:eastAsia="Times New Roman" w:hAnsi="Times New Roman" w:cs="Times New Roman"/>
          <w:sz w:val="24"/>
          <w:szCs w:val="24"/>
        </w:rPr>
        <w:t>coefficients. The</w:t>
      </w:r>
      <w:r w:rsidRPr="00434425">
        <w:rPr>
          <w:rFonts w:ascii="Times New Roman" w:eastAsia="Times New Roman" w:hAnsi="Times New Roman" w:cs="Times New Roman"/>
          <w:sz w:val="24"/>
          <w:szCs w:val="24"/>
        </w:rPr>
        <w:t xml:space="preserve"> Pitzer equations are based on an extension of the Debye-</w:t>
      </w:r>
      <w:proofErr w:type="spellStart"/>
      <w:r w:rsidRPr="00434425">
        <w:rPr>
          <w:rFonts w:ascii="Times New Roman" w:eastAsia="Times New Roman" w:hAnsi="Times New Roman" w:cs="Times New Roman"/>
          <w:sz w:val="24"/>
          <w:szCs w:val="24"/>
        </w:rPr>
        <w:t>Hückel</w:t>
      </w:r>
      <w:proofErr w:type="spellEnd"/>
      <w:r w:rsidRPr="00434425">
        <w:rPr>
          <w:rFonts w:ascii="Times New Roman" w:eastAsia="Times New Roman" w:hAnsi="Times New Roman" w:cs="Times New Roman"/>
          <w:sz w:val="24"/>
          <w:szCs w:val="24"/>
        </w:rPr>
        <w:t xml:space="preserve"> equation using a virial equation approach, where the interactions between pairs and triplets of ions and molecules are described by empirical parameters. A Pitzer model is therefore dependent on a wealth of experimental data that underlie the database of Pitzer parameters. Pitzer modelling of the major components of seawater (seawater </w:t>
      </w:r>
      <w:r w:rsidRPr="00434425">
        <w:rPr>
          <w:rFonts w:ascii="Times New Roman" w:eastAsia="Times New Roman" w:hAnsi="Times New Roman" w:cs="Times New Roman"/>
          <w:sz w:val="24"/>
          <w:szCs w:val="24"/>
        </w:rPr>
        <w:lastRenderedPageBreak/>
        <w:t xml:space="preserve">electrolyte) is well </w:t>
      </w:r>
      <w:r w:rsidRPr="00434425">
        <w:rPr>
          <w:rFonts w:ascii="Times New Roman" w:eastAsia="Times New Roman" w:hAnsi="Times New Roman" w:cs="Times New Roman"/>
          <w:sz w:val="24"/>
          <w:szCs w:val="24"/>
        </w:rPr>
        <w:t>established and</w:t>
      </w:r>
      <w:r w:rsidRPr="00434425">
        <w:rPr>
          <w:rFonts w:ascii="Times New Roman" w:eastAsia="Times New Roman" w:hAnsi="Times New Roman" w:cs="Times New Roman"/>
          <w:sz w:val="24"/>
          <w:szCs w:val="24"/>
        </w:rPr>
        <w:t xml:space="preserve"> is being applied to trace metals as the relevant experimental data become available.</w:t>
      </w:r>
    </w:p>
    <w:p w14:paraId="56E2605C" w14:textId="77777777" w:rsidR="00434425" w:rsidRDefault="00434425" w:rsidP="00434425">
      <w:pPr>
        <w:pStyle w:val="ListParagraph"/>
        <w:spacing w:after="0" w:line="360" w:lineRule="auto"/>
        <w:ind w:right="5"/>
        <w:jc w:val="both"/>
        <w:rPr>
          <w:rFonts w:ascii="Times New Roman" w:eastAsia="Times New Roman" w:hAnsi="Times New Roman" w:cs="Times New Roman"/>
          <w:b/>
          <w:bCs/>
          <w:sz w:val="24"/>
          <w:szCs w:val="24"/>
          <w:lang w:val="en-US"/>
        </w:rPr>
      </w:pPr>
    </w:p>
    <w:p w14:paraId="1EB8A816" w14:textId="646D7001" w:rsidR="00434425" w:rsidRDefault="00434425" w:rsidP="00434425">
      <w:pPr>
        <w:pStyle w:val="ListParagraph"/>
        <w:numPr>
          <w:ilvl w:val="0"/>
          <w:numId w:val="1"/>
        </w:numPr>
        <w:spacing w:after="0" w:line="360" w:lineRule="auto"/>
        <w:ind w:right="5"/>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B-E-T Method:</w:t>
      </w:r>
    </w:p>
    <w:p w14:paraId="44F31A15" w14:textId="557F0859" w:rsidR="00095D7E" w:rsidRPr="00095D7E" w:rsidRDefault="00095D7E" w:rsidP="00095D7E">
      <w:pPr>
        <w:pStyle w:val="ListParagraph"/>
        <w:spacing w:line="321" w:lineRule="auto"/>
        <w:ind w:right="5" w:firstLine="720"/>
        <w:jc w:val="both"/>
        <w:rPr>
          <w:rFonts w:ascii="Times New Roman" w:eastAsia="Times New Roman" w:hAnsi="Times New Roman" w:cs="Times New Roman"/>
          <w:sz w:val="24"/>
          <w:szCs w:val="24"/>
          <w:lang w:val="en-US"/>
        </w:rPr>
      </w:pPr>
      <w:proofErr w:type="gramStart"/>
      <w:r w:rsidRPr="00095D7E">
        <w:rPr>
          <w:rFonts w:ascii="Times New Roman" w:eastAsia="Times New Roman" w:hAnsi="Times New Roman" w:cs="Times New Roman"/>
          <w:sz w:val="24"/>
          <w:szCs w:val="24"/>
          <w:lang w:val="en-US"/>
        </w:rPr>
        <w:t>BET</w:t>
      </w:r>
      <w:proofErr w:type="gramEnd"/>
      <w:r w:rsidRPr="00095D7E">
        <w:rPr>
          <w:rFonts w:ascii="Times New Roman" w:eastAsia="Times New Roman" w:hAnsi="Times New Roman" w:cs="Times New Roman"/>
          <w:sz w:val="24"/>
          <w:szCs w:val="24"/>
          <w:lang w:val="en-US"/>
        </w:rPr>
        <w:t xml:space="preserve"> method is also used for predicting phase change across a range of temperature and concentration. The main </w:t>
      </w:r>
      <w:r w:rsidRPr="00095D7E">
        <w:rPr>
          <w:rFonts w:ascii="Times New Roman" w:eastAsia="Times New Roman" w:hAnsi="Times New Roman" w:cs="Times New Roman"/>
          <w:sz w:val="24"/>
          <w:szCs w:val="24"/>
          <w:lang w:val="en-US"/>
        </w:rPr>
        <w:t>parameters</w:t>
      </w:r>
      <w:r w:rsidRPr="00095D7E">
        <w:rPr>
          <w:rFonts w:ascii="Times New Roman" w:eastAsia="Times New Roman" w:hAnsi="Times New Roman" w:cs="Times New Roman"/>
          <w:sz w:val="24"/>
          <w:szCs w:val="24"/>
          <w:lang w:val="en-US"/>
        </w:rPr>
        <w:t xml:space="preserve"> used in BET modelling </w:t>
      </w:r>
      <w:proofErr w:type="gramStart"/>
      <w:r w:rsidRPr="00095D7E">
        <w:rPr>
          <w:rFonts w:ascii="Times New Roman" w:eastAsia="Times New Roman" w:hAnsi="Times New Roman" w:cs="Times New Roman"/>
          <w:sz w:val="24"/>
          <w:szCs w:val="24"/>
          <w:lang w:val="en-US"/>
        </w:rPr>
        <w:t>is</w:t>
      </w:r>
      <w:proofErr w:type="gramEnd"/>
      <w:r w:rsidRPr="00095D7E">
        <w:rPr>
          <w:rFonts w:ascii="Times New Roman" w:eastAsia="Times New Roman" w:hAnsi="Times New Roman" w:cs="Times New Roman"/>
          <w:sz w:val="24"/>
          <w:szCs w:val="24"/>
          <w:lang w:val="en-US"/>
        </w:rPr>
        <w:t xml:space="preserve"> </w:t>
      </w:r>
      <w:r w:rsidRPr="00095D7E">
        <w:rPr>
          <w:rFonts w:ascii="Times New Roman" w:eastAsia="Times New Roman" w:hAnsi="Times New Roman" w:cs="Times New Roman"/>
          <w:i/>
          <w:sz w:val="24"/>
          <w:szCs w:val="24"/>
          <w:lang w:val="en-US"/>
        </w:rPr>
        <w:t>r</w:t>
      </w:r>
      <w:r w:rsidRPr="00095D7E">
        <w:rPr>
          <w:rFonts w:ascii="Times New Roman" w:eastAsia="Times New Roman" w:hAnsi="Times New Roman" w:cs="Times New Roman"/>
          <w:sz w:val="24"/>
          <w:szCs w:val="24"/>
          <w:lang w:val="en-US"/>
        </w:rPr>
        <w:t xml:space="preserve"> and </w:t>
      </w:r>
      <w:r w:rsidRPr="00095D7E">
        <w:rPr>
          <w:rFonts w:ascii="Times New Roman" w:eastAsia="Times New Roman" w:hAnsi="Times New Roman" w:cs="Times New Roman"/>
          <w:i/>
          <w:sz w:val="24"/>
          <w:szCs w:val="24"/>
          <w:lang w:val="en-US"/>
        </w:rPr>
        <w:t>ε</w:t>
      </w:r>
      <w:r w:rsidRPr="00095D7E">
        <w:rPr>
          <w:rFonts w:ascii="Times New Roman" w:eastAsia="Times New Roman" w:hAnsi="Times New Roman" w:cs="Times New Roman"/>
          <w:sz w:val="24"/>
          <w:szCs w:val="24"/>
          <w:lang w:val="en-US"/>
        </w:rPr>
        <w:t xml:space="preserve">. These parameters are temperature dependent. The number of binding sites on salt is represented by </w:t>
      </w:r>
      <w:r w:rsidRPr="00095D7E">
        <w:rPr>
          <w:rFonts w:ascii="Times New Roman" w:eastAsia="Times New Roman" w:hAnsi="Times New Roman" w:cs="Times New Roman"/>
          <w:i/>
          <w:sz w:val="24"/>
          <w:szCs w:val="24"/>
          <w:lang w:val="en-US"/>
        </w:rPr>
        <w:t>r</w:t>
      </w:r>
      <w:r w:rsidRPr="00095D7E">
        <w:rPr>
          <w:rFonts w:ascii="Times New Roman" w:eastAsia="Times New Roman" w:hAnsi="Times New Roman" w:cs="Times New Roman"/>
          <w:sz w:val="24"/>
          <w:szCs w:val="24"/>
          <w:lang w:val="en-US"/>
        </w:rPr>
        <w:t xml:space="preserve"> and </w:t>
      </w:r>
      <w:r w:rsidRPr="00095D7E">
        <w:rPr>
          <w:rFonts w:ascii="Times New Roman" w:eastAsia="Times New Roman" w:hAnsi="Times New Roman" w:cs="Times New Roman"/>
          <w:i/>
          <w:sz w:val="24"/>
          <w:szCs w:val="24"/>
          <w:lang w:val="en-US"/>
        </w:rPr>
        <w:t xml:space="preserve">ε </w:t>
      </w:r>
      <w:r w:rsidRPr="00095D7E">
        <w:rPr>
          <w:rFonts w:ascii="Times New Roman" w:eastAsia="Times New Roman" w:hAnsi="Times New Roman" w:cs="Times New Roman"/>
          <w:sz w:val="24"/>
          <w:szCs w:val="24"/>
          <w:lang w:val="en-US"/>
        </w:rPr>
        <w:t>represents the difference between the molar enthalpy of adsorption of water on the salt and the molar enthalpy of liquefaction of water.</w:t>
      </w:r>
    </w:p>
    <w:p w14:paraId="548D0299" w14:textId="77777777" w:rsidR="00095D7E" w:rsidRDefault="00095D7E" w:rsidP="00095D7E">
      <w:pPr>
        <w:pStyle w:val="ListParagraph"/>
        <w:spacing w:after="0" w:line="360" w:lineRule="auto"/>
        <w:ind w:right="5"/>
        <w:jc w:val="both"/>
        <w:rPr>
          <w:rFonts w:ascii="Times New Roman" w:eastAsia="Times New Roman" w:hAnsi="Times New Roman" w:cs="Times New Roman"/>
          <w:b/>
          <w:bCs/>
          <w:sz w:val="24"/>
          <w:szCs w:val="24"/>
          <w:lang w:val="en-US"/>
        </w:rPr>
      </w:pPr>
    </w:p>
    <w:p w14:paraId="0BCF3B0A" w14:textId="556ED0B8" w:rsidR="00434425" w:rsidRDefault="00434425" w:rsidP="00434425">
      <w:pPr>
        <w:pStyle w:val="ListParagraph"/>
        <w:numPr>
          <w:ilvl w:val="0"/>
          <w:numId w:val="1"/>
        </w:numPr>
        <w:spacing w:after="0" w:line="360" w:lineRule="auto"/>
        <w:ind w:right="5"/>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Pitzer Simonson Clegg:</w:t>
      </w:r>
    </w:p>
    <w:p w14:paraId="7FD8B87D" w14:textId="2EDBF234" w:rsidR="00095D7E" w:rsidRDefault="00095D7E" w:rsidP="00095D7E">
      <w:pPr>
        <w:pStyle w:val="ListParagraph"/>
        <w:spacing w:after="0" w:line="360" w:lineRule="auto"/>
        <w:ind w:right="5" w:firstLine="720"/>
        <w:jc w:val="both"/>
        <w:rPr>
          <w:rFonts w:ascii="Times New Roman" w:eastAsia="Times New Roman" w:hAnsi="Times New Roman" w:cs="Times New Roman"/>
          <w:sz w:val="24"/>
          <w:szCs w:val="24"/>
          <w:lang w:val="en-US"/>
        </w:rPr>
      </w:pPr>
      <w:r w:rsidRPr="003B4FCE">
        <w:rPr>
          <w:rFonts w:ascii="Times New Roman" w:eastAsia="Times New Roman" w:hAnsi="Times New Roman" w:cs="Times New Roman"/>
          <w:sz w:val="24"/>
          <w:szCs w:val="24"/>
          <w:lang w:val="en-US"/>
        </w:rPr>
        <w:t xml:space="preserve">It is one of the most popular </w:t>
      </w:r>
      <w:r w:rsidRPr="003B4FCE">
        <w:rPr>
          <w:rFonts w:ascii="Times New Roman" w:eastAsia="Times New Roman" w:hAnsi="Times New Roman" w:cs="Times New Roman"/>
          <w:sz w:val="24"/>
          <w:szCs w:val="24"/>
          <w:lang w:val="en-US"/>
        </w:rPr>
        <w:t>models</w:t>
      </w:r>
      <w:r w:rsidRPr="003B4FCE">
        <w:rPr>
          <w:rFonts w:ascii="Times New Roman" w:eastAsia="Times New Roman" w:hAnsi="Times New Roman" w:cs="Times New Roman"/>
          <w:sz w:val="24"/>
          <w:szCs w:val="24"/>
          <w:lang w:val="en-US"/>
        </w:rPr>
        <w:t xml:space="preserve"> for predicting behavior of mixed electrolytes. In the PSC model, the excess Gibbs energy is represented by summation of short-range and long-range interactions. The long-range forces contribution is represented by the extended DH expression and short-range interaction term is represented by Margules expansion which includes the parameters for the interaction of solvent -anion, solvent-cation, and the disassociation of all </w:t>
      </w:r>
      <w:r w:rsidRPr="003B4FCE">
        <w:rPr>
          <w:rFonts w:ascii="Times New Roman" w:eastAsia="Times New Roman" w:hAnsi="Times New Roman" w:cs="Times New Roman"/>
          <w:sz w:val="24"/>
          <w:szCs w:val="24"/>
          <w:lang w:val="en-US"/>
        </w:rPr>
        <w:t>electrolytes.</w:t>
      </w:r>
    </w:p>
    <w:p w14:paraId="46E79386" w14:textId="77777777" w:rsidR="00095D7E" w:rsidRDefault="00095D7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013CD14" w14:textId="77777777" w:rsidR="00095D7E" w:rsidRDefault="00095D7E" w:rsidP="00095D7E">
      <w:pPr>
        <w:spacing w:after="0" w:line="360" w:lineRule="auto"/>
        <w:ind w:right="5"/>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2.3) Research Gap</w:t>
      </w:r>
    </w:p>
    <w:p w14:paraId="576ECDF5" w14:textId="54DB6739" w:rsidR="00095D7E" w:rsidRDefault="00095D7E" w:rsidP="00095D7E">
      <w:pPr>
        <w:spacing w:after="0" w:line="360" w:lineRule="auto"/>
        <w:ind w:right="5" w:firstLine="720"/>
        <w:jc w:val="both"/>
        <w:rPr>
          <w:rFonts w:ascii="Times New Roman" w:eastAsia="Times New Roman" w:hAnsi="Times New Roman" w:cs="Times New Roman"/>
          <w:sz w:val="24"/>
          <w:szCs w:val="24"/>
          <w:lang w:val="en-US"/>
        </w:rPr>
      </w:pPr>
      <w:r w:rsidRPr="003B4FCE">
        <w:rPr>
          <w:rFonts w:ascii="Times New Roman" w:eastAsia="Times New Roman" w:hAnsi="Times New Roman" w:cs="Times New Roman"/>
          <w:sz w:val="24"/>
          <w:szCs w:val="24"/>
          <w:lang w:val="en-US"/>
        </w:rPr>
        <w:t xml:space="preserve">There is wide research gap in the Salt hydrates such as </w:t>
      </w:r>
    </w:p>
    <w:p w14:paraId="3F184261" w14:textId="77777777" w:rsidR="00095D7E" w:rsidRPr="00095D7E" w:rsidRDefault="00095D7E" w:rsidP="00095D7E">
      <w:pPr>
        <w:pStyle w:val="ListParagraph"/>
        <w:numPr>
          <w:ilvl w:val="0"/>
          <w:numId w:val="3"/>
        </w:numPr>
        <w:spacing w:after="0" w:line="360" w:lineRule="auto"/>
        <w:ind w:right="5"/>
        <w:jc w:val="both"/>
        <w:rPr>
          <w:rFonts w:ascii="Times New Roman" w:eastAsia="Times New Roman" w:hAnsi="Times New Roman" w:cs="Times New Roman"/>
          <w:b/>
          <w:bCs/>
          <w:sz w:val="24"/>
          <w:szCs w:val="24"/>
          <w:lang w:val="en-US"/>
        </w:rPr>
      </w:pPr>
      <w:r w:rsidRPr="00095D7E">
        <w:rPr>
          <w:rFonts w:ascii="Times New Roman" w:eastAsia="Times New Roman" w:hAnsi="Times New Roman" w:cs="Times New Roman"/>
          <w:sz w:val="24"/>
          <w:szCs w:val="24"/>
          <w:lang w:val="en-US"/>
        </w:rPr>
        <w:t xml:space="preserve">Lack of experimental data at high temperature and pressure and validation, </w:t>
      </w:r>
    </w:p>
    <w:p w14:paraId="4AA39E6A" w14:textId="77777777" w:rsidR="00095D7E" w:rsidRPr="00095D7E" w:rsidRDefault="00095D7E" w:rsidP="00095D7E">
      <w:pPr>
        <w:pStyle w:val="ListParagraph"/>
        <w:numPr>
          <w:ilvl w:val="0"/>
          <w:numId w:val="3"/>
        </w:numPr>
        <w:spacing w:after="0" w:line="360" w:lineRule="auto"/>
        <w:ind w:right="5"/>
        <w:jc w:val="both"/>
        <w:rPr>
          <w:rFonts w:ascii="Times New Roman" w:eastAsia="Times New Roman" w:hAnsi="Times New Roman" w:cs="Times New Roman"/>
          <w:b/>
          <w:bCs/>
          <w:sz w:val="24"/>
          <w:szCs w:val="24"/>
          <w:lang w:val="en-US"/>
        </w:rPr>
      </w:pPr>
      <w:r w:rsidRPr="00095D7E">
        <w:rPr>
          <w:rFonts w:ascii="Times New Roman" w:eastAsia="Times New Roman" w:hAnsi="Times New Roman" w:cs="Times New Roman"/>
          <w:sz w:val="24"/>
          <w:szCs w:val="24"/>
          <w:lang w:val="en-US"/>
        </w:rPr>
        <w:t>Model accounting for salt hydrates at elevated temperature, pressure, and           concentration</w:t>
      </w:r>
      <w:r>
        <w:rPr>
          <w:rFonts w:ascii="Times New Roman" w:eastAsia="Times New Roman" w:hAnsi="Times New Roman" w:cs="Times New Roman"/>
          <w:sz w:val="24"/>
          <w:szCs w:val="24"/>
          <w:lang w:val="en-US"/>
        </w:rPr>
        <w:t>.</w:t>
      </w:r>
    </w:p>
    <w:p w14:paraId="6D4BB79D" w14:textId="77777777" w:rsidR="00095D7E" w:rsidRPr="00095D7E" w:rsidRDefault="00095D7E" w:rsidP="00095D7E">
      <w:pPr>
        <w:pStyle w:val="ListParagraph"/>
        <w:numPr>
          <w:ilvl w:val="0"/>
          <w:numId w:val="3"/>
        </w:numPr>
        <w:spacing w:after="0" w:line="360" w:lineRule="auto"/>
        <w:ind w:right="5"/>
        <w:jc w:val="both"/>
        <w:rPr>
          <w:rFonts w:ascii="Times New Roman" w:eastAsia="Times New Roman" w:hAnsi="Times New Roman" w:cs="Times New Roman"/>
          <w:b/>
          <w:bCs/>
          <w:sz w:val="24"/>
          <w:szCs w:val="24"/>
          <w:lang w:val="en-US"/>
        </w:rPr>
      </w:pPr>
      <w:r w:rsidRPr="00095D7E">
        <w:rPr>
          <w:rFonts w:ascii="Times New Roman" w:eastAsia="Times New Roman" w:hAnsi="Times New Roman" w:cs="Times New Roman"/>
          <w:sz w:val="24"/>
          <w:szCs w:val="24"/>
          <w:lang w:val="en-US"/>
        </w:rPr>
        <w:t>Accounting of unstable chemical reactions</w:t>
      </w:r>
      <w:r>
        <w:rPr>
          <w:rFonts w:ascii="Times New Roman" w:eastAsia="Times New Roman" w:hAnsi="Times New Roman" w:cs="Times New Roman"/>
          <w:sz w:val="24"/>
          <w:szCs w:val="24"/>
          <w:lang w:val="en-US"/>
        </w:rPr>
        <w:t>.</w:t>
      </w:r>
    </w:p>
    <w:p w14:paraId="24C1044E" w14:textId="2A71DD83" w:rsidR="00095D7E" w:rsidRPr="00095D7E" w:rsidRDefault="00095D7E" w:rsidP="00095D7E">
      <w:pPr>
        <w:pStyle w:val="ListParagraph"/>
        <w:numPr>
          <w:ilvl w:val="0"/>
          <w:numId w:val="3"/>
        </w:numPr>
        <w:spacing w:after="0" w:line="360" w:lineRule="auto"/>
        <w:ind w:right="5"/>
        <w:jc w:val="both"/>
        <w:rPr>
          <w:rFonts w:ascii="Times New Roman" w:eastAsia="Times New Roman" w:hAnsi="Times New Roman" w:cs="Times New Roman"/>
          <w:b/>
          <w:bCs/>
          <w:sz w:val="24"/>
          <w:szCs w:val="24"/>
          <w:lang w:val="en-US"/>
        </w:rPr>
      </w:pPr>
      <w:r w:rsidRPr="00095D7E">
        <w:rPr>
          <w:rFonts w:ascii="Times New Roman" w:eastAsia="Times New Roman" w:hAnsi="Times New Roman" w:cs="Times New Roman"/>
          <w:sz w:val="24"/>
          <w:szCs w:val="24"/>
          <w:lang w:val="en-US"/>
        </w:rPr>
        <w:t xml:space="preserve">Accounting of complex phase equilibria (vapor: liquid: solid). </w:t>
      </w:r>
    </w:p>
    <w:p w14:paraId="5D3C7E23" w14:textId="77777777" w:rsidR="00095D7E" w:rsidRDefault="00095D7E" w:rsidP="00095D7E">
      <w:pPr>
        <w:spacing w:after="0" w:line="360" w:lineRule="auto"/>
        <w:ind w:right="5"/>
        <w:jc w:val="both"/>
        <w:rPr>
          <w:rFonts w:ascii="Times New Roman" w:eastAsia="Times New Roman" w:hAnsi="Times New Roman" w:cs="Times New Roman"/>
          <w:b/>
          <w:bCs/>
          <w:sz w:val="24"/>
          <w:szCs w:val="24"/>
          <w:lang w:val="en-US"/>
        </w:rPr>
      </w:pPr>
    </w:p>
    <w:p w14:paraId="2EF3E90B" w14:textId="77777777" w:rsidR="00095D7E" w:rsidRPr="00095D7E" w:rsidRDefault="00095D7E" w:rsidP="00095D7E">
      <w:pPr>
        <w:spacing w:after="0" w:line="360" w:lineRule="auto"/>
        <w:ind w:right="5"/>
        <w:jc w:val="both"/>
        <w:rPr>
          <w:rFonts w:ascii="Times New Roman" w:eastAsia="Times New Roman" w:hAnsi="Times New Roman" w:cs="Times New Roman"/>
          <w:b/>
          <w:bCs/>
          <w:sz w:val="24"/>
          <w:szCs w:val="24"/>
          <w:lang w:val="en-US"/>
        </w:rPr>
      </w:pPr>
    </w:p>
    <w:p w14:paraId="461CE21A" w14:textId="77777777" w:rsidR="00434425" w:rsidRPr="00434425" w:rsidRDefault="00434425" w:rsidP="00434425">
      <w:pPr>
        <w:spacing w:after="0" w:line="360" w:lineRule="auto"/>
        <w:ind w:right="5"/>
        <w:jc w:val="both"/>
        <w:rPr>
          <w:rFonts w:ascii="Times New Roman" w:eastAsia="Times New Roman" w:hAnsi="Times New Roman" w:cs="Times New Roman"/>
          <w:b/>
          <w:bCs/>
          <w:sz w:val="24"/>
          <w:szCs w:val="24"/>
          <w:lang w:val="en-US"/>
        </w:rPr>
      </w:pPr>
    </w:p>
    <w:p w14:paraId="504271BF" w14:textId="2FCFC45A" w:rsidR="00434425" w:rsidRPr="00434425" w:rsidRDefault="00434425" w:rsidP="00434425">
      <w:pPr>
        <w:pStyle w:val="ListParagraph"/>
        <w:spacing w:line="360" w:lineRule="auto"/>
        <w:ind w:right="5" w:firstLine="720"/>
        <w:jc w:val="both"/>
        <w:rPr>
          <w:rFonts w:ascii="Times New Roman" w:hAnsi="Times New Roman" w:cs="Times New Roman"/>
          <w:b/>
          <w:bCs/>
          <w:sz w:val="24"/>
          <w:szCs w:val="24"/>
          <w:lang w:val="en-US"/>
        </w:rPr>
      </w:pPr>
    </w:p>
    <w:p w14:paraId="4FA0AA72" w14:textId="77777777" w:rsidR="00434425" w:rsidRPr="00434425" w:rsidRDefault="00434425" w:rsidP="00434425">
      <w:pPr>
        <w:spacing w:line="360" w:lineRule="auto"/>
        <w:ind w:right="5"/>
        <w:jc w:val="both"/>
        <w:rPr>
          <w:rFonts w:ascii="Times New Roman" w:hAnsi="Times New Roman" w:cs="Times New Roman"/>
          <w:b/>
          <w:bCs/>
          <w:sz w:val="24"/>
          <w:szCs w:val="24"/>
        </w:rPr>
      </w:pPr>
    </w:p>
    <w:p w14:paraId="7A8C98E6" w14:textId="45915854" w:rsidR="00434425" w:rsidRPr="003B4FCE" w:rsidRDefault="00434425" w:rsidP="00434425">
      <w:pPr>
        <w:tabs>
          <w:tab w:val="left" w:pos="8640"/>
        </w:tabs>
        <w:spacing w:line="360" w:lineRule="auto"/>
        <w:ind w:right="5" w:firstLine="980"/>
        <w:jc w:val="both"/>
        <w:rPr>
          <w:rFonts w:ascii="Times New Roman" w:hAnsi="Times New Roman" w:cs="Times New Roman"/>
          <w:sz w:val="24"/>
          <w:szCs w:val="24"/>
        </w:rPr>
      </w:pPr>
    </w:p>
    <w:p w14:paraId="3E6E3950" w14:textId="77777777" w:rsidR="00434425" w:rsidRPr="00434425" w:rsidRDefault="00434425" w:rsidP="00434425">
      <w:pPr>
        <w:rPr>
          <w:rFonts w:ascii="Times New Roman" w:hAnsi="Times New Roman" w:cs="Times New Roman"/>
          <w:sz w:val="28"/>
          <w:szCs w:val="28"/>
          <w:lang w:val="en-US"/>
        </w:rPr>
      </w:pPr>
    </w:p>
    <w:sectPr w:rsidR="00434425" w:rsidRPr="0043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07367"/>
    <w:multiLevelType w:val="hybridMultilevel"/>
    <w:tmpl w:val="02A01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469513E"/>
    <w:multiLevelType w:val="multilevel"/>
    <w:tmpl w:val="773A67CE"/>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75BF0179"/>
    <w:multiLevelType w:val="hybridMultilevel"/>
    <w:tmpl w:val="F3022E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804264">
    <w:abstractNumId w:val="2"/>
  </w:num>
  <w:num w:numId="2" w16cid:durableId="1864005819">
    <w:abstractNumId w:val="1"/>
  </w:num>
  <w:num w:numId="3" w16cid:durableId="12698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3"/>
    <w:rsid w:val="00095D7E"/>
    <w:rsid w:val="000960EC"/>
    <w:rsid w:val="000E156B"/>
    <w:rsid w:val="00434425"/>
    <w:rsid w:val="0062238E"/>
    <w:rsid w:val="00713AAE"/>
    <w:rsid w:val="0073039C"/>
    <w:rsid w:val="009B7A43"/>
    <w:rsid w:val="00DD498C"/>
    <w:rsid w:val="00E73323"/>
    <w:rsid w:val="00EF00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447"/>
  <w15:chartTrackingRefBased/>
  <w15:docId w15:val="{0322A741-9228-4861-B72C-85BE4A04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323"/>
    <w:rPr>
      <w:rFonts w:eastAsiaTheme="majorEastAsia" w:cstheme="majorBidi"/>
      <w:color w:val="272727" w:themeColor="text1" w:themeTint="D8"/>
    </w:rPr>
  </w:style>
  <w:style w:type="paragraph" w:styleId="Title">
    <w:name w:val="Title"/>
    <w:basedOn w:val="Normal"/>
    <w:next w:val="Normal"/>
    <w:link w:val="TitleChar"/>
    <w:uiPriority w:val="10"/>
    <w:qFormat/>
    <w:rsid w:val="00E73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323"/>
    <w:pPr>
      <w:spacing w:before="160"/>
      <w:jc w:val="center"/>
    </w:pPr>
    <w:rPr>
      <w:i/>
      <w:iCs/>
      <w:color w:val="404040" w:themeColor="text1" w:themeTint="BF"/>
    </w:rPr>
  </w:style>
  <w:style w:type="character" w:customStyle="1" w:styleId="QuoteChar">
    <w:name w:val="Quote Char"/>
    <w:basedOn w:val="DefaultParagraphFont"/>
    <w:link w:val="Quote"/>
    <w:uiPriority w:val="29"/>
    <w:rsid w:val="00E73323"/>
    <w:rPr>
      <w:i/>
      <w:iCs/>
      <w:color w:val="404040" w:themeColor="text1" w:themeTint="BF"/>
    </w:rPr>
  </w:style>
  <w:style w:type="paragraph" w:styleId="ListParagraph">
    <w:name w:val="List Paragraph"/>
    <w:basedOn w:val="Normal"/>
    <w:uiPriority w:val="34"/>
    <w:qFormat/>
    <w:rsid w:val="00E73323"/>
    <w:pPr>
      <w:ind w:left="720"/>
      <w:contextualSpacing/>
    </w:pPr>
  </w:style>
  <w:style w:type="character" w:styleId="IntenseEmphasis">
    <w:name w:val="Intense Emphasis"/>
    <w:basedOn w:val="DefaultParagraphFont"/>
    <w:uiPriority w:val="21"/>
    <w:qFormat/>
    <w:rsid w:val="00E73323"/>
    <w:rPr>
      <w:i/>
      <w:iCs/>
      <w:color w:val="0F4761" w:themeColor="accent1" w:themeShade="BF"/>
    </w:rPr>
  </w:style>
  <w:style w:type="paragraph" w:styleId="IntenseQuote">
    <w:name w:val="Intense Quote"/>
    <w:basedOn w:val="Normal"/>
    <w:next w:val="Normal"/>
    <w:link w:val="IntenseQuoteChar"/>
    <w:uiPriority w:val="30"/>
    <w:qFormat/>
    <w:rsid w:val="00E73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323"/>
    <w:rPr>
      <w:i/>
      <w:iCs/>
      <w:color w:val="0F4761" w:themeColor="accent1" w:themeShade="BF"/>
    </w:rPr>
  </w:style>
  <w:style w:type="character" w:styleId="IntenseReference">
    <w:name w:val="Intense Reference"/>
    <w:basedOn w:val="DefaultParagraphFont"/>
    <w:uiPriority w:val="32"/>
    <w:qFormat/>
    <w:rsid w:val="00E73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2</cp:revision>
  <dcterms:created xsi:type="dcterms:W3CDTF">2024-03-13T13:04:00Z</dcterms:created>
  <dcterms:modified xsi:type="dcterms:W3CDTF">2024-03-13T13:18:00Z</dcterms:modified>
</cp:coreProperties>
</file>