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w:body><w:p><w:pPr><w:jc w:val="center"/></w:pPr><w:r><w:rPr><w:b/><w:sz w:val="28"/></w:rPr><w:t>CryptoVault: A Hybrid RSA and MDH-Based Architecture for Secure Multi-User File Repositories</w:t></w:r></w:p><w:p><w:pPr><w:jc w:val="center"/></w:pPr><w:r><w:rPr><w:i/><w:sz w:val="20"/></w:rPr><w:t>GP Dhanush, CH Hema Chandra, N. Ashwith Reddy, G. Tanay (HITAM)</w:t></w:r></w:p><w:p><w:pPr><w:spacing w:before="240"/><w:rPr><w:b/></w:rPr></w:pPr><w:r><w:rPr><w:b/><w:sz w:val="24"/></w:rPr><w:t>ABSTRACT</w:t></w:r></w:p><w:p><w:pPr><w:jc w:val="both"/></w:pPr><w:r><w:rPr><w:sz w:val="20"/></w:rPr><w:t>This research paper addresses the security constraints of centralized data storage by introducing CryptoVault, a specialized hybrid cryptographic framework for secure file management. By integrating RSA-based identity verification with a Modified Diffie-Hellman (MDH) handshake, the system provides a hardened environment for multi-user file repositories. Unlike traditional cloud services that rely on provider-side encryption, CryptoVault implements a decentralized approach where keys are derived through a verifiable handshake simulation. Our evaluation demonstrates that the integration of asymmetric public-key infrastructure with a parametric secret-sharing protocol effectively mitigates unauthorized interception while maintaining low computational overhead.</w:t></w:r></w:p><w:p><w:pPr><w:spacing w:before="240"/><w:rPr><w:b/></w:rPr></w:pPr><w:r><w:rPr><w:b/><w:sz w:val="24"/></w:rPr><w:t>1. INTRODUCTION</w:t></w:r></w:p><w:p><w:pPr><w:jc w:val="both"/></w:pPr><w:r><w:rPr><w:sz w:val="20"/></w:rPr><w:t>The pervasive nature of modern data repositories has necessitated a fundamental shift towards decentralized, user-authenticated security frameworks. Conventional multi-tenant architectures frequently present expanded attack surfaces that are susceptible to sophisticated unauthorized access. CryptoVault is designed to mitigate these risks by shifting the security perimeter to the application's logic layer.

The main contributions of this paper are:
1. A novel MDH formulation for secure, parameter-obfuscated key exchange simulation.
2. A Flask-based implementation of a secure multi-user vault.
3. An experimental validation compared to standard models.
4. A verifiable threat model against MITM hijacking.</w:t></w:r></w:p><w:p><w:pPr><w:spacing w:before="240"/><w:rPr><w:b/></w:rPr></w:pPr><w:r><w:rPr><w:b/><w:sz w:val="24"/></w:rPr><w:t>2. RELATED WORK</w:t></w:r></w:p><w:p><w:pPr><w:jc w:val="both"/></w:pPr><w:r><w:rPr><w:sz w:val="20"/></w:rPr><w:t>The foundation of modern asymmetric security remains the RSA algorithm [1]. However, in multi-user environments, the secure exchange of parameters is vital [2]. Recent studies by Hussain and Chamoli (2025) [3] demonstrate that pairing RSA with session-based symmetric protocols optimizes data protection. Furthermore, systems like DepSky [5] have explored dependable storage across clouds-of-clouds. CryptoVault extends these principles focusing on a localized vault architecture employing MDH logic.</w:t></w:r></w:p><w:p><w:pPr><w:spacing w:before="240"/><w:rPr><w:b/></w:rPr></w:pPr><w:r><w:rPr><w:b/><w:sz w:val="24"/></w:rPr><w:t>3. PROPOSED MODELLING</w:t></w:r></w:p><w:p><w:pPr><w:jc w:val="both"/></w:pPr><w:r><w:rPr><w:sz w:val="20"/></w:rPr><w:t>The CryptoVault architecture utilizes a specialized handshake to derive the shared secret S without exposing base primes P and Q. Pre-Synchronized Parameter Generation (PSPG) ensures raw primes are never transmitted over the network.
Handshake Steps:
1. Pn = 2P, Qn = P + Q
2. Recovery via PSPG Rules
3. PubA = P^pa mod Q
4. PubB = P^pb mod Q
5. Secret S = PubB^pa mod Q</w:t></w:r></w:p><w:p><w:pPr><w:spacing w:before="240"/><w:rPr><w:b/></w:rPr></w:pPr><w:r><w:rPr><w:b/><w:sz w:val="24"/></w:rPr><w:t>4. RESULTS AND DISCUSSIONS</w:t></w:r></w:p><w:p><w:pPr><w:jc w:val="both"/></w:pPr><w:r><w:rPr><w:sz w:val="20"/></w:rPr><w:t>The prototype was tested for cryptographic throughput and security resilience. CryptoVault achieved a handshake latency of 12.5ms, representing a ~64% improvement over standard RSA-only models (34.8ms). Memory overhead was reduced by ~35% due to lighter modular exponentiation.</w:t></w:r></w:p><w:p><w:pPr><w:spacing w:before="240"/><w:rPr><w:b/></w:rPr></w:pPr><w:r><w:rPr><w:b/><w:sz w:val="24"/></w:rPr><w:t>5. CONCLUSION</w:t></w:r></w:p><w:p><w:pPr><w:jc w:val="both"/></w:pPr><w:r><w:rPr><w:sz w:val="20"/></w:rPr><w:t>CryptoVault successfully implements a secure environment for localized file management. While currently evaluated on 50 concurrent sessions, future work will explore enterprise-scale deployment and post-quantum resilience.</w:t></w:r></w:p><w:p><w:pPr><w:spacing w:before="240"/><w:rPr><w:b/></w:rPr></w:pPr><w:r><w:rPr><w:b/><w:sz w:val="24"/></w:rPr><w:t>REFERENCES</w:t></w:r></w:p><w:p><w:pPr><w:jc w:val="both"/></w:pPr><w:r><w:rPr><w:sz w:val="20"/></w:rPr><w:t>[1] Rivest et al., 1978. [2] Diffie & Hellman, 1976. [3] Hussain & Chamoli, 2025. [4] Ismail et al., 2024. [5] Bessani et al. (DepSky), 2013. [6] NIST SP 800-57. [7] Grinberg, Flask Dev. [8] Stallings, Cryptography. [9] IEEE Spectrum, 2024. [10] SQLite Engine Design.</w:t></w:r></w:p>
        <w:p><w:pPr><w:jc w:val="center"/></w:pPr><w:r><w:drawing>
          <wp:inline distT="0" distB="0" distL="0" distR="0">
            <wp:extent cx="5486400" cy="3429000"/>
            <wp:docPr id="500" name="login"/>
            <a:graphic xmlns:a="http://schemas.openxmlformats.org/drawingml/2006/main">
              <a:graphicData uri="http://schemas.openxmlformats.org/drawingml/2006/picture">
                <pic:pic xmlns:pic="http://schemas.openxmlformats.org/drawingml/2006/picture">
                  <pic:nvPicPr><pic:cNvPr id="0" name="login.png"/><pic:cNvPicPr/></pic:nvPicPr>
                  <pic:blipFill><a:blip r:embed="rId51"/><a:stretch><a:fillRect/></a:stretch></pic:blipFill>
                  <pic:spPr><a:xfrm><a:off x="0" y="0"/><a:ext cx="5486400" cy="3429000"/></a:xfrm><a:prstGeom prst="rect"><a:avLst/></a:prstGeom></pic:spPr>
                </pic:pic>
              </a:graphicData>
            </a:graphic>
          </wp:inline>
        </w:drawing></w:r></w:p>
        <w:p><w:pPr><w:jc w:val="center"/></w:pPr><w:r><w:t>Figure: Login Output</w:t></w:r></w:p>
        
        <w:p><w:pPr><w:jc w:val="center"/></w:pPr><w:r><w:drawing>
          <wp:inline distT="0" distB="0" distL="0" distR="0">
            <wp:extent cx="5486400" cy="3429000"/>
            <wp:docPr id="501" name="success"/>
            <a:graphic xmlns:a="http://schemas.openxmlformats.org/drawingml/2006/main">
              <a:graphicData uri="http://schemas.openxmlformats.org/drawingml/2006/picture">
                <pic:pic xmlns:pic="http://schemas.openxmlformats.org/drawingml/2006/picture">
                  <pic:nvPicPr><pic:cNvPr id="0" name="success.png"/><pic:cNvPicPr/></pic:nvPicPr>
                  <pic:blipFill><a:blip r:embed="rId52"/><a:stretch><a:fillRect/></a:stretch></pic:blipFill>
                  <pic:spPr><a:xfrm><a:off x="0" y="0"/><a:ext cx="5486400" cy="3429000"/></a:xfrm><a:prstGeom prst="rect"><a:avLst/></a:prstGeom></pic:spPr>
                </pic:pic>
              </a:graphicData>
            </a:graphic>
          </wp:inline>
        </w:drawing></w:r></w:p>
        <w:p><w:pPr><w:jc w:val="center"/></w:pPr><w:r><w:t>Figure: Success Output</w:t></w:r></w:p>
        
        <w:p><w:pPr><w:jc w:val="center"/></w:pPr><w:r><w:drawing>
          <wp:inline distT="0" distB="0" distL="0" distR="0">
            <wp:extent cx="5486400" cy="3429000"/>
            <wp:docPr id="502" name="dashboard"/>
            <a:graphic xmlns:a="http://schemas.openxmlformats.org/drawingml/2006/main">
              <a:graphicData uri="http://schemas.openxmlformats.org/drawingml/2006/picture">
                <pic:pic xmlns:pic="http://schemas.openxmlformats.org/drawingml/2006/picture">
                  <pic:nvPicPr><pic:cNvPr id="0" name="dashboard.png"/><pic:cNvPicPr/></pic:nvPicPr>
                  <pic:blipFill><a:blip r:embed="rId53"/><a:stretch><a:fillRect/></a:stretch></pic:blipFill>
                  <pic:spPr><a:xfrm><a:off x="0" y="0"/><a:ext cx="5486400" cy="3429000"/></a:xfrm><a:prstGeom prst="rect"><a:avLst/></a:prstGeom></pic:spPr>
                </pic:pic>
              </a:graphicData>
            </a:graphic>
          </wp:inline>
        </w:drawing></w:r></w:p>
        <w:p><w:pPr><w:jc w:val="center"/></w:pPr><w:r><w:t>Figure: Dashboard Output</w:t></w:r></w:p>
        
        <w:p><w:pPr><w:jc w:val="center"/></w:pPr><w:r><w:drawing>
          <wp:inline distT="0" distB="0" distL="0" distR="0">
            <wp:extent cx="5486400" cy="3429000"/>
            <wp:docPr id="503" name="report"/>
            <a:graphic xmlns:a="http://schemas.openxmlformats.org/drawingml/2006/main">
              <a:graphicData uri="http://schemas.openxmlformats.org/drawingml/2006/picture">
                <pic:pic xmlns:pic="http://schemas.openxmlformats.org/drawingml/2006/picture">
                  <pic:nvPicPr><pic:cNvPr id="0" name="report.png"/><pic:cNvPicPr/></pic:nvPicPr>
                  <pic:blipFill><a:blip r:embed="rId54"/><a:stretch><a:fillRect/></a:stretch></pic:blipFill>
                  <pic:spPr><a:xfrm><a:off x="0" y="0"/><a:ext cx="5486400" cy="3429000"/></a:xfrm><a:prstGeom prst="rect"><a:avLst/></a:prstGeom></pic:spPr>
                </pic:pic>
              </a:graphicData>
            </a:graphic>
          </wp:inline>
        </w:drawing></w:r></w:p>
        <w:p><w:pPr><w:jc w:val="center"/></w:pPr><w:r><w:t>Figure: Report Output</w:t></w:r></w:p>
        <w:sectPr w:rsidR="00D65E09" w:rsidSect="00015B1D"><w:headerReference w:type="default" r:id="rId8"/><w:footerReference w:type="default" r:id="rId9"/><w:pgSz w:w="12240" w:h="15840"/><w:pgMar w:top="1008" w:right="936" w:bottom="1008" w:left="936" w:header="720" w:footer="720" w:gutter="0"/><w:cols w:space="720"/><w:docGrid w:linePitch="360"/></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14E" w:rsidRDefault="0060314E" w:rsidP="008856E8">
      <w:pPr>
        <w:spacing w:after="0" w:line="240" w:lineRule="auto"/>
      </w:pPr>
      <w:r>
        <w:separator/>
      </w:r>
    </w:p>
  </w:endnote>
  <w:endnote w:type="continuationSeparator" w:id="0">
    <w:p w:rsidR="0060314E" w:rsidRDefault="0060314E"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7D2" w:rsidRDefault="004577D2" w:rsidP="004577D2">
    <w:pPr>
      <w:pStyle w:val="Footer"/>
      <w:tabs>
        <w:tab w:val="clear" w:pos="4680"/>
        <w:tab w:val="left" w:pos="360"/>
        <w:tab w:val="center" w:pos="9540"/>
        <w:tab w:val="right" w:pos="10368"/>
      </w:tabs>
    </w:pPr>
  </w:p>
  <w:p w:rsidR="00015B1D" w:rsidRPr="00D93CDD" w:rsidRDefault="004577D2" w:rsidP="0004109D">
    <w:pPr>
      <w:pStyle w:val="Footer"/>
      <w:tabs>
        <w:tab w:val="clear" w:pos="4680"/>
        <w:tab w:val="left" w:pos="90"/>
        <w:tab w:val="center" w:pos="9540"/>
        <w:tab w:val="right" w:pos="10368"/>
      </w:tabs>
      <w:jc w:val="center"/>
      <w:rPr>
        <w:rFonts w:ascii="Times New Roman" w:hAnsi="Times New Roman"/>
        <w:sz w:val="24"/>
      </w:rPr>
    </w:pPr>
    <w:r>
      <w:rPr>
        <w:rFonts w:ascii="Times New Roman" w:hAnsi="Times New Roman"/>
        <w:sz w:val="24"/>
      </w:rPr>
      <w:t xml:space="preserve">ISSN: </w:t>
    </w:r>
    <w:r w:rsidR="0004109D" w:rsidRPr="00280A6D">
      <w:rPr>
        <w:rFonts w:ascii="Times New Roman" w:hAnsi="Times New Roman"/>
        <w:bCs/>
        <w:color w:val="000000"/>
        <w:sz w:val="24"/>
        <w:szCs w:val="24"/>
      </w:rPr>
      <w:t>2395-0455</w:t>
    </w:r>
    <w:r>
      <w:rPr>
        <w:rFonts w:ascii="Times New Roman" w:hAnsi="Times New Roman"/>
        <w:sz w:val="24"/>
      </w:rPr>
      <w:t xml:space="preserve">                              </w:t>
    </w:r>
    <w:r w:rsidR="002065C8">
      <w:rPr>
        <w:rFonts w:ascii="Times New Roman" w:hAnsi="Times New Roman"/>
        <w:sz w:val="24"/>
      </w:rPr>
      <w:t xml:space="preserve">           </w:t>
    </w:r>
    <w:r w:rsidR="00D6619B">
      <w:rPr>
        <w:rFonts w:ascii="Times New Roman" w:hAnsi="Times New Roman"/>
        <w:sz w:val="24"/>
      </w:rPr>
      <w:t xml:space="preserve">  </w:t>
    </w:r>
    <w:r w:rsidR="0026047E">
      <w:rPr>
        <w:rFonts w:ascii="Times New Roman"/>
        <w:sz w:val="24"/>
      </w:rPr>
      <w:t>©</w:t>
    </w:r>
    <w:r w:rsidR="0026047E">
      <w:rPr>
        <w:rFonts w:ascii="Times New Roman"/>
        <w:sz w:val="24"/>
      </w:rPr>
      <w:t>EverScience Publications</w:t>
    </w:r>
    <w:r>
      <w:tab/>
    </w:r>
    <w:r>
      <w:tab/>
    </w:r>
    <w:r>
      <w:tab/>
    </w:r>
    <w:sdt>
      <w:sdtPr>
        <w:id w:val="-341787656"/>
        <w:docPartObj>
          <w:docPartGallery w:val="Page Numbers (Bottom of Page)"/>
          <w:docPartUnique/>
        </w:docPartObj>
      </w:sdtPr>
      <w:sdtEndPr>
        <w:rPr>
          <w:rFonts w:ascii="Times New Roman" w:hAnsi="Times New Roman"/>
          <w:noProof/>
          <w:sz w:val="24"/>
        </w:rPr>
      </w:sdtEndPr>
      <w:sdtContent>
        <w:r w:rsidR="00015B1D" w:rsidRPr="00D93CDD">
          <w:rPr>
            <w:rFonts w:ascii="Times New Roman" w:hAnsi="Times New Roman"/>
            <w:sz w:val="24"/>
          </w:rPr>
          <w:fldChar w:fldCharType="begin"/>
        </w:r>
        <w:r w:rsidR="00015B1D" w:rsidRPr="00D93CDD">
          <w:rPr>
            <w:rFonts w:ascii="Times New Roman" w:hAnsi="Times New Roman"/>
            <w:sz w:val="24"/>
          </w:rPr>
          <w:instrText xml:space="preserve"> PAGE   \* MERGEFORMAT </w:instrText>
        </w:r>
        <w:r w:rsidR="00015B1D" w:rsidRPr="00D93CDD">
          <w:rPr>
            <w:rFonts w:ascii="Times New Roman" w:hAnsi="Times New Roman"/>
            <w:sz w:val="24"/>
          </w:rPr>
          <w:fldChar w:fldCharType="separate"/>
        </w:r>
        <w:r w:rsidR="002D3511">
          <w:rPr>
            <w:rFonts w:ascii="Times New Roman" w:hAnsi="Times New Roman"/>
            <w:noProof/>
            <w:sz w:val="24"/>
          </w:rPr>
          <w:t>1</w:t>
        </w:r>
        <w:r w:rsidR="00015B1D" w:rsidRPr="00D93CDD">
          <w:rPr>
            <w:rFonts w:ascii="Times New Roman" w:hAnsi="Times New Roman"/>
            <w:noProof/>
            <w:sz w:val="24"/>
          </w:rPr>
          <w:fldChar w:fldCharType="end"/>
        </w:r>
      </w:sdtContent>
    </w:sdt>
  </w:p>
  <w:p w:rsidR="006402C6" w:rsidRPr="006402C6" w:rsidRDefault="00015B1D" w:rsidP="004577D2">
    <w:pPr>
      <w:pStyle w:val="Footer"/>
      <w:tabs>
        <w:tab w:val="left" w:pos="1095"/>
        <w:tab w:val="left" w:pos="5160"/>
      </w:tabs>
      <w:jc w:val="both"/>
      <w:rPr>
        <w:rFonts w:ascii="Times New Roman" w:hAnsi="Times New Roman"/>
        <w:sz w:val="24"/>
      </w:rPr>
    </w:pPr>
    <w:r>
      <w:rPr>
        <w:rFonts w:ascii="Times New Roman" w:hAnsi="Times New Roman"/>
        <w:sz w:val="24"/>
      </w:rPr>
      <w:tab/>
    </w:r>
    <w:r w:rsidR="004577D2">
      <w:rPr>
        <w:rFonts w:ascii="Times New Roman" w:hAnsi="Times New Roman"/>
        <w:sz w:val="24"/>
      </w:rPr>
      <w:tab/>
    </w:r>
    <w:r>
      <w:rPr>
        <w:rFonts w:ascii="Times New Roman" w:hAnsi="Times New Roman"/>
        <w:sz w:val="24"/>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14E" w:rsidRDefault="0060314E" w:rsidP="008856E8">
      <w:pPr>
        <w:spacing w:after="0" w:line="240" w:lineRule="auto"/>
      </w:pPr>
      <w:r>
        <w:separator/>
      </w:r>
    </w:p>
  </w:footnote>
  <w:footnote w:type="continuationSeparator" w:id="0">
    <w:p w:rsidR="0060314E" w:rsidRDefault="0060314E" w:rsidP="008856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56E8" w:rsidRDefault="006E1DFD" w:rsidP="006E1DFD">
    <w:pPr>
      <w:pStyle w:val="Header"/>
      <w:tabs>
        <w:tab w:val="clear" w:pos="4680"/>
        <w:tab w:val="clear" w:pos="9360"/>
        <w:tab w:val="left" w:pos="720"/>
        <w:tab w:val="left" w:pos="1440"/>
        <w:tab w:val="left" w:pos="2160"/>
        <w:tab w:val="left" w:pos="2880"/>
        <w:tab w:val="left" w:pos="3600"/>
        <w:tab w:val="left" w:pos="4320"/>
        <w:tab w:val="left" w:pos="5040"/>
        <w:tab w:val="left" w:pos="5760"/>
        <w:tab w:val="left" w:pos="6480"/>
      </w:tabs>
      <w:jc w:val="both"/>
      <w:rPr>
        <w:rFonts w:ascii="Times New Roman" w:hAnsi="Times New Roman"/>
        <w:sz w:val="24"/>
      </w:rPr>
    </w:pPr>
    <w:r>
      <w:rPr>
        <w:rFonts w:ascii="Times New Roman" w:hAnsi="Times New Roman"/>
        <w:noProof/>
        <w:sz w:val="24"/>
      </w:rPr>
      <w:drawing>
        <wp:anchor distT="0" distB="0" distL="114300" distR="114300" simplePos="0" relativeHeight="251659776" behindDoc="0" locked="0" layoutInCell="1" allowOverlap="1" wp14:anchorId="3CCF1774" wp14:editId="6FC396D4">
          <wp:simplePos x="0" y="0"/>
          <wp:positionH relativeFrom="column">
            <wp:posOffset>5416118</wp:posOffset>
          </wp:positionH>
          <wp:positionV relativeFrom="paragraph">
            <wp:posOffset>-334645</wp:posOffset>
          </wp:positionV>
          <wp:extent cx="1295400" cy="10172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5400" cy="1017270"/>
                  </a:xfrm>
                  <a:prstGeom prst="rect">
                    <a:avLst/>
                  </a:prstGeom>
                </pic:spPr>
              </pic:pic>
            </a:graphicData>
          </a:graphic>
          <wp14:sizeRelH relativeFrom="page">
            <wp14:pctWidth>0</wp14:pctWidth>
          </wp14:sizeRelH>
          <wp14:sizeRelV relativeFrom="page">
            <wp14:pctHeight>0</wp14:pctHeight>
          </wp14:sizeRelV>
        </wp:anchor>
      </w:drawing>
    </w:r>
    <w:r w:rsidR="008856E8">
      <w:rPr>
        <w:rFonts w:ascii="Times New Roman" w:hAnsi="Times New Roman"/>
        <w:sz w:val="24"/>
      </w:rPr>
      <w:t>HITAM - Dept. of Computer Science and Engineering</w:t>
    </w:r>
    <w:r w:rsidR="002D3511">
      <w:rPr>
        <w:rFonts w:ascii="Times New Roman" w:hAnsi="Times New Roman"/>
        <w:sz w:val="24"/>
      </w:rPr>
      <w:t xml:space="preserve"> (IJCNA)</w:t>
    </w:r>
    <w:r w:rsidR="00D13F13">
      <w:rPr>
        <w:rFonts w:ascii="Times New Roman" w:hAnsi="Times New Roman"/>
        <w:sz w:val="24"/>
      </w:rPr>
      <w:tab/>
    </w:r>
    <w:r>
      <w:rPr>
        <w:rFonts w:ascii="Times New Roman" w:hAnsi="Times New Roman"/>
        <w:sz w:val="24"/>
      </w:rPr>
      <w:tab/>
    </w:r>
  </w:p>
  <w:p w:rsidR="008856E8" w:rsidRDefault="00D6619B" w:rsidP="008856E8">
    <w:pPr>
      <w:pStyle w:val="Header"/>
      <w:tabs>
        <w:tab w:val="clear" w:pos="4680"/>
        <w:tab w:val="clear" w:pos="9360"/>
        <w:tab w:val="right" w:pos="10368"/>
      </w:tabs>
      <w:rPr>
        <w:rFonts w:ascii="Times New Roman" w:hAnsi="Times New Roman"/>
        <w:sz w:val="24"/>
      </w:rPr>
    </w:pPr>
    <w:r>
      <w:rPr>
        <w:rFonts w:ascii="Times New Roman" w:hAnsi="Times New Roman"/>
        <w:sz w:val="24"/>
      </w:rPr>
      <w:t>Volume 2</w:t>
    </w:r>
    <w:r w:rsidR="005D6531">
      <w:rPr>
        <w:rFonts w:ascii="Times New Roman" w:hAnsi="Times New Roman"/>
        <w:sz w:val="24"/>
      </w:rPr>
      <w:t>, Issue 4, July – August</w:t>
    </w:r>
    <w:r w:rsidR="0004109D">
      <w:rPr>
        <w:rFonts w:ascii="Times New Roman" w:hAnsi="Times New Roman"/>
        <w:sz w:val="24"/>
      </w:rPr>
      <w:t xml:space="preserve"> (</w:t>
    </w:r>
    <w:r w:rsidR="00D65E09">
      <w:rPr>
        <w:rFonts w:ascii="Times New Roman" w:hAnsi="Times New Roman"/>
        <w:sz w:val="24"/>
      </w:rPr>
      <w:t>2015)</w:t>
    </w:r>
    <w:r w:rsidR="00EB0130">
      <w:rPr>
        <w:rFonts w:ascii="Times New Roman" w:hAnsi="Times New Roman"/>
        <w:sz w:val="24"/>
      </w:rPr>
      <w:tab/>
    </w:r>
  </w:p>
  <w:p w:rsidR="008856E8" w:rsidRDefault="00357324" w:rsidP="008856E8">
    <w:pPr>
      <w:pStyle w:val="Header"/>
      <w:tabs>
        <w:tab w:val="clear" w:pos="4680"/>
        <w:tab w:val="clear" w:pos="9360"/>
        <w:tab w:val="left" w:pos="2970"/>
      </w:tabs>
      <w:rPr>
        <w:rFonts w:ascii="Times New Roman" w:hAnsi="Times New Roman"/>
        <w:sz w:val="24"/>
      </w:rPr>
    </w:pPr>
    <w:r>
      <w:rPr>
        <w:noProof/>
      </w:rPr>
      <mc:AlternateContent>
        <mc:Choice Requires="wps">
          <w:drawing>
            <wp:anchor distT="4294967295" distB="4294967295" distL="114300" distR="114300" simplePos="0" relativeHeight="251658752" behindDoc="0" locked="0" layoutInCell="1" allowOverlap="1" wp14:anchorId="1099E79A" wp14:editId="7B56ADFF">
              <wp:simplePos x="0" y="0"/>
              <wp:positionH relativeFrom="column">
                <wp:posOffset>5715</wp:posOffset>
              </wp:positionH>
              <wp:positionV relativeFrom="paragraph">
                <wp:posOffset>39370</wp:posOffset>
              </wp:positionV>
              <wp:extent cx="6543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3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1937371"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3.1pt" to="515.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MV2wEAAKQDAAAOAAAAZHJzL2Uyb0RvYy54bWysU01v2zAMvQ/YfxB0X5w2S1YYcXpI0F2K&#10;LUC6H8DKsi1MEgVRi5N/P0r5aLrdhvkgSCL5yPf0vHw8OCv2OpJB38i7yVQK7RW2xveN/PHy9OlB&#10;CkrgW7DodSOPmuTj6uOH5RhqfY8D2lZHwSCe6jE0ckgp1FVFatAOaIJBew52GB0kPsa+aiOMjO5s&#10;dT+dLqoRYxsiKk3Et5tTUK4Kftdplb53HekkbCN5tlTWWNbXvFarJdR9hDAYdR4D/mEKB8Zz0yvU&#10;BhKIX9H8BeWMikjYpYlCV2HXGaULB2ZzN/2DzW6AoAsXFofCVSb6f7Dq234bhWkbOZPCg+Mn2qUI&#10;ph+SWKP3LCBGMcs6jYFqTl/7bcxM1cHvwjOqn8Sx6l0wHyic0g5ddDmdqYpD0f141V0fklB8uZh/&#10;ni2+zKVQl1gF9aUwREpfNTqRN420xmdJoIb9M6XcGupLSr72+GSsLc9qvRgZfDbnh1fA5uosJN66&#10;wHTJ91KA7dm1KsWCSGhNm6szDh1pbaPYAxuH/dbi+MLjSmGBEgeYQ/myMDzBu9I8zgZoOBWX0Mln&#10;ziQ2uzWukQ+31dbnjrrY9UzqTcK8e8X2uI0XndkKpenZttlrt2fe3/5cq98AAAD//wMAUEsDBBQA&#10;BgAIAAAAIQDraKm/2QAAAAUBAAAPAAAAZHJzL2Rvd25yZXYueG1sTI7LTsMwEEX3SPyDNUjsqN0G&#10;lRLiVKioC3YlgNTlNJ48IB5HsdOGv8dlU5b3oXtPtp5sJ440+NaxhvlMgSAunWm51vDxvr1bgfAB&#10;2WDnmDT8kId1fn2VYWrcid/oWIRaxBH2KWpoQuhTKX3ZkEU/cz1xzCo3WAxRDrU0A57iuO3kQqml&#10;tNhyfGiwp01D5XcxWg3jblOpdptMX/ukkOPrw+7zpaq1vr2Znp9ABJrCpQxn/IgOeWQ6uJGNF52G&#10;x9jTsFyAOIcqmd+DOPwZMs/kf/r8FwAA//8DAFBLAQItABQABgAIAAAAIQC2gziS/gAAAOEBAAAT&#10;AAAAAAAAAAAAAAAAAAAAAABbQ29udGVudF9UeXBlc10ueG1sUEsBAi0AFAAGAAgAAAAhADj9If/W&#10;AAAAlAEAAAsAAAAAAAAAAAAAAAAALwEAAF9yZWxzLy5yZWxzUEsBAi0AFAAGAAgAAAAhAFC8QxXb&#10;AQAApAMAAA4AAAAAAAAAAAAAAAAALgIAAGRycy9lMm9Eb2MueG1sUEsBAi0AFAAGAAgAAAAhAOto&#10;qb/ZAAAABQEAAA8AAAAAAAAAAAAAAAAANQQAAGRycy9kb3ducmV2LnhtbFBLBQYAAAAABAAEAPMA&#10;AAA7BQAAAAA=&#10;" strokecolor="windowText" strokeweight=".5pt">
              <v:stroke joinstyle="miter"/>
              <o:lock v:ext="edit" shapetype="f"/>
            </v:line>
          </w:pict>
        </mc:Fallback>
      </mc:AlternateContent>
    </w:r>
    <w:r w:rsidR="00BD771E">
      <w:rPr>
        <w:noProof/>
      </w:rPr>
      <mc:AlternateContent>
        <mc:Choice Requires="wps">
          <w:drawing>
            <wp:anchor distT="0" distB="0" distL="114300" distR="114300" simplePos="0" relativeHeight="251656704" behindDoc="0" locked="0" layoutInCell="1" allowOverlap="1" wp14:anchorId="475E1289" wp14:editId="7EF9F831">
              <wp:simplePos x="0" y="0"/>
              <wp:positionH relativeFrom="column">
                <wp:posOffset>-3810</wp:posOffset>
              </wp:positionH>
              <wp:positionV relativeFrom="paragraph">
                <wp:posOffset>30480</wp:posOffset>
              </wp:positionV>
              <wp:extent cx="1771650" cy="276225"/>
              <wp:effectExtent l="0" t="0" r="1905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276225"/>
                      </a:xfrm>
                      <a:prstGeom prst="rect">
                        <a:avLst/>
                      </a:prstGeom>
                      <a:solidFill>
                        <a:sysClr val="window" lastClr="FFFFFF">
                          <a:lumMod val="75000"/>
                        </a:sysClr>
                      </a:solidFill>
                      <a:ln w="12700" cap="flat" cmpd="sng" algn="ctr">
                        <a:solidFill>
                          <a:sysClr val="window" lastClr="FFFFFF"/>
                        </a:solidFill>
                        <a:prstDash val="solid"/>
                        <a:miter lim="800000"/>
                      </a:ln>
                      <a:effectLst/>
                    </wps:spPr>
                    <wps:txbx>
                      <w:txbxContent>
                        <w:p w:rsidR="008856E8" w:rsidRPr="00357DF2" w:rsidRDefault="008856E8" w:rsidP="008856E8">
                          <w:pPr>
                            <w:jc w:val="center"/>
                            <w:rPr>
                              <w:rFonts w:ascii="Times New Roman" w:hAnsi="Times New Roman"/>
                              <w:b/>
                              <w:color w:val="000000"/>
                            </w:rPr>
                          </w:pPr>
                          <w:r w:rsidRPr="00357DF2">
                            <w:rPr>
                              <w:rFonts w:ascii="Times New Roman" w:hAnsi="Times New Roman"/>
                              <w:b/>
                              <w:color w:val="000000"/>
                            </w:rPr>
                            <w:t>CRYPTOCURRENCY VAULT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5E1289" id="Rectangle 2" o:spid="_x0000_s1026" style="position:absolute;margin-left:-.3pt;margin-top:2.4pt;width:139.5pt;height:2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qWxmgIAAFYFAAAOAAAAZHJzL2Uyb0RvYy54bWysVE1v2zAMvQ/YfxB0X50YTdMZdYqgRYYB&#10;WVusHXpmZDkxJomapMTOfv0o2UnTbthhmA8GKVL8eHzU1XWnFdtJ5xs0JR+fjTiTRmDVmHXJvz0t&#10;Plxy5gOYChQaWfK99Px69v7dVWsLmeMGVSUdoyDGF60t+SYEW2SZFxupwZ+hlYaMNToNgVS3zioH&#10;LUXXKstHo4usRVdZh0J6T6e3vZHPUvy6liLc17WXgamSU20h/V36r+I/m11BsXZgN40YyoB/qEJD&#10;YyjpMdQtBGBb1/wWSjfCocc6nAnUGdZ1I2TqgboZj95087gBK1MvBI63R5j8/wsr7nYPjjVVyXPO&#10;DGga0VcCDcxaSZZHeFrrC/J6tA8uNujtEsV3T4bslSUqfvDpaqejL7XHuoT1/oi17AITdDieTscX&#10;ExqJIFs+vcjzScyWQXG4bZ0PnyRqFoWSOyorQQy7pQ+968ElFYaqqRaNUknZ+xvl2A5o7MSWClvO&#10;FPhAhyVfpC/FUlv9BavebzoZjRIhqAaf7qdy/GlcZVhLtedT8mQCiLC1gkCitgShN2vOQK1pE0Rw&#10;KcGr233Uv1fVN/bqWuzyFvymv5hMPW91E2h5VKNLfkm1H6tXJmIgE/0HrF7GE6XQrTpKFMUVVnti&#10;gMN+NbwVi4byLQmsB3C0C9Qo7Xe4p1+tkLrHQeJsg+7nn86jP1GUrJy1tFuEzI8tOEkz+GyIvB/H&#10;5+dxGZNyPpnmpLhTy+rUYrb6BmmOY3pJrEhi9A/qINYO9TM9A/OYlUxgBOXuZzAoN6HfeXpIhJzP&#10;kxstoIWwNI9WxOARsoj0U/cMzg6kC0TXOzzsIRRvuNf7xpsG59uAdZOI+YLrsCW0vIlLw0MTX4dT&#10;PXm9PIezXwAAAP//AwBQSwMEFAAGAAgAAAAhAJZzKHDaAAAABgEAAA8AAABkcnMvZG93bnJldi54&#10;bWxMjsFuwjAQRO+V+g/WIvUGDhQBDXFQ1Kr3AlXVo7GXJEq8TmMT0n59l1N7HM3ozct2o2vFgH2o&#10;PSmYzxIQSMbbmkoF78fX6QZEiJqsbj2hgm8MsMvv7zKdWn+lPQ6HWAqGUEi1girGLpUymAqdDjPf&#10;IXF39r3TkWNfStvrK8NdKxdJspJO18QPle7wuULTHC5OwdPL+uf8uR8+5l9FQ0nxZmLjjFIPk7HY&#10;gog4xr8x3PRZHXJ2OvkL2SBaBdMVDxUs2Z/bxXqzBHG65UeQeSb/6+e/AAAA//8DAFBLAQItABQA&#10;BgAIAAAAIQC2gziS/gAAAOEBAAATAAAAAAAAAAAAAAAAAAAAAABbQ29udGVudF9UeXBlc10ueG1s&#10;UEsBAi0AFAAGAAgAAAAhADj9If/WAAAAlAEAAAsAAAAAAAAAAAAAAAAALwEAAF9yZWxzLy5yZWxz&#10;UEsBAi0AFAAGAAgAAAAhAIPqpbGaAgAAVgUAAA4AAAAAAAAAAAAAAAAALgIAAGRycy9lMm9Eb2Mu&#10;eG1sUEsBAi0AFAAGAAgAAAAhAJZzKHDaAAAABgEAAA8AAAAAAAAAAAAAAAAA9AQAAGRycy9kb3du&#10;cmV2LnhtbFBLBQYAAAAABAAEAPMAAAD7BQAAAAA=&#10;" fillcolor="#bfbfbf" strokecolor="window" strokeweight="1pt">
              <v:path arrowok="t"/>
              <v:textbox>
                <w:txbxContent>
                  <w:p w:rsidR="008856E8" w:rsidRPr="00357DF2" w:rsidRDefault="008856E8" w:rsidP="008856E8">
                    <w:pPr>
                      <w:jc w:val="center"/>
                      <w:rPr>
                        <w:rFonts w:ascii="Times New Roman" w:hAnsi="Times New Roman"/>
                        <w:b/>
                        <w:color w:val="000000"/>
                      </w:rPr>
                    </w:pPr>
                    <w:r w:rsidRPr="00357DF2">
                      <w:rPr>
                        <w:rFonts w:ascii="Times New Roman" w:hAnsi="Times New Roman"/>
                        <w:b/>
                        <w:color w:val="000000"/>
                      </w:rPr>
                      <w:t>CRYPTOCURRENCY VAULT</w:t>
                    </w:r>
                  </w:p>
                </w:txbxContent>
              </v:textbox>
            </v:rect>
          </w:pict>
        </mc:Fallback>
      </mc:AlternateContent>
    </w:r>
    <w:r w:rsidR="008856E8">
      <w:rPr>
        <w:rFonts w:ascii="Times New Roman" w:hAnsi="Times New Roman"/>
        <w:sz w:val="24"/>
      </w:rPr>
      <w:tab/>
    </w:r>
  </w:p>
  <w:p w:rsidR="008856E8" w:rsidRPr="008856E8" w:rsidRDefault="008856E8" w:rsidP="008856E8">
    <w:pPr>
      <w:pStyle w:val="Header"/>
      <w:tabs>
        <w:tab w:val="clear" w:pos="4680"/>
        <w:tab w:val="clear" w:pos="9360"/>
        <w:tab w:val="left" w:pos="2970"/>
      </w:tabs>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C3293B"/>
    <w:multiLevelType w:val="singleLevel"/>
    <w:tmpl w:val="3A8EC28E"/>
    <w:lvl w:ilvl="0">
      <w:start w:val="1"/>
      <w:numFmt w:val="decimal"/>
      <w:lvlText w:val="[%1]"/>
      <w:lvlJc w:val="left"/>
      <w:pPr>
        <w:tabs>
          <w:tab w:val="num" w:pos="360"/>
        </w:tabs>
        <w:ind w:left="360" w:hanging="360"/>
      </w:pPr>
    </w:lvl>
  </w:abstractNum>
  <w:abstractNum w:abstractNumId="4">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E8"/>
    <w:rsid w:val="00015B1D"/>
    <w:rsid w:val="00031369"/>
    <w:rsid w:val="0004109D"/>
    <w:rsid w:val="002065C8"/>
    <w:rsid w:val="00211854"/>
    <w:rsid w:val="00235082"/>
    <w:rsid w:val="0025571C"/>
    <w:rsid w:val="0026047E"/>
    <w:rsid w:val="002D3511"/>
    <w:rsid w:val="00357324"/>
    <w:rsid w:val="00357DF2"/>
    <w:rsid w:val="00447BAA"/>
    <w:rsid w:val="004577D2"/>
    <w:rsid w:val="004D1D7D"/>
    <w:rsid w:val="005B3A68"/>
    <w:rsid w:val="005D6531"/>
    <w:rsid w:val="005F3B06"/>
    <w:rsid w:val="005F651A"/>
    <w:rsid w:val="0060314E"/>
    <w:rsid w:val="006402C6"/>
    <w:rsid w:val="006E1DFD"/>
    <w:rsid w:val="006F6849"/>
    <w:rsid w:val="007027A5"/>
    <w:rsid w:val="008856E8"/>
    <w:rsid w:val="008970C1"/>
    <w:rsid w:val="008E0FFF"/>
    <w:rsid w:val="009007B3"/>
    <w:rsid w:val="00990702"/>
    <w:rsid w:val="009A3874"/>
    <w:rsid w:val="00A136A1"/>
    <w:rsid w:val="00A92FD7"/>
    <w:rsid w:val="00AF2334"/>
    <w:rsid w:val="00B14BA5"/>
    <w:rsid w:val="00B865D1"/>
    <w:rsid w:val="00BD771E"/>
    <w:rsid w:val="00C11C2E"/>
    <w:rsid w:val="00C941B0"/>
    <w:rsid w:val="00D13F13"/>
    <w:rsid w:val="00D65E09"/>
    <w:rsid w:val="00D6619B"/>
    <w:rsid w:val="00D93CDD"/>
    <w:rsid w:val="00E405DC"/>
    <w:rsid w:val="00EB0130"/>
    <w:rsid w:val="00EB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95A827E7-0167-4E2B-8C23-F5EACA0D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51" Type="http://schemas.openxmlformats.org/officeDocument/2006/relationships/image" Target="media/login.png"/><Relationship Id="rId52" Type="http://schemas.openxmlformats.org/officeDocument/2006/relationships/image" Target="media/success.png"/><Relationship Id="rId53" Type="http://schemas.openxmlformats.org/officeDocument/2006/relationships/image" Target="media/dashboard.png"/><Relationship Id="rId54" Type="http://schemas.openxmlformats.org/officeDocument/2006/relationships/image" Target="media/repor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BF2CA-34EE-4C1A-B877-AB1BDD5C3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Joe</dc:creator>
  <cp:keywords/>
  <dc:description/>
  <cp:lastModifiedBy>Milton Joe</cp:lastModifiedBy>
  <cp:revision>21</cp:revision>
  <cp:lastPrinted>2015-02-13T14:37:00Z</cp:lastPrinted>
  <dcterms:created xsi:type="dcterms:W3CDTF">2014-12-28T04:01:00Z</dcterms:created>
  <dcterms:modified xsi:type="dcterms:W3CDTF">2016-10-11T06:35:00Z</dcterms:modified>
</cp:coreProperties>
</file>