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8"/>
        </w:rPr>
        <w:t>Risk-Adaptive Voice-Based Financial Assistant</w:t>
        <w:br/>
        <w:t>Using Multi-Modal ML Pipeline with Behavioral</w:t>
        <w:br/>
        <w:t>Fraud Detection and Speaker Verification</w:t>
      </w:r>
    </w:p>
    <w:p>
      <w:pPr>
        <w:jc w:val="center"/>
      </w:pPr>
      <w:r>
        <w:rPr>
          <w:rFonts w:ascii="Times New Roman" w:hAnsi="Times New Roman"/>
          <w:sz w:val="22"/>
        </w:rPr>
        <w:t>Dhanush I</w:t>
        <w:br/>
        <w:t>Department of Computer Science</w:t>
        <w:br/>
        <w:t>University Name</w:t>
        <w:br/>
        <w:t>City, Country</w:t>
        <w:br/>
        <w:t>email@university.edu</w:t>
      </w:r>
    </w:p>
    <w:p>
      <w:pPr>
        <w:jc w:val="center"/>
      </w:pPr>
      <w:r>
        <w:rPr>
          <w:b/>
          <w:i/>
          <w:sz w:val="20"/>
        </w:rPr>
        <w:t>Abstract</w:t>
      </w:r>
    </w:p>
    <w:p>
      <w:pPr>
        <w:jc w:val="both"/>
      </w:pPr>
      <w:r>
        <w:rPr>
          <w:i/>
          <w:sz w:val="18"/>
        </w:rPr>
        <w:t>Voice-based financial transactions represent an emerging paradigm in digital banking, yet they introduce novel security challenges at the intersection of speech recognition, biometric authentication, and fraud detection. This paper presents a Risk-Adaptive Voice-Based Financial Assistant that employs a multi-modal machine learning pipeline integrating four core modules: (1) Speech-to-Text transcription using OpenAI Whisper, (2) Speaker Verification using ECAPA-TDNN embeddings with cosine similarity and anti-spoofing liveness detection, (3) Intent Classification using a Bidirectional LSTM network, and (4) Behavioral Fraud Detection using an Isolation Forest and Random Forest ensemble. The system introduces a novel three-tier risk-adaptive authentication protocol that dynamically selects the authentication method — PIN-only, Step-Up (PIN + voice re-confirmation), or Hard Block — based on a composite risk score derived from speaker verification similarity, fraud anomaly scores, and transaction context. Experimental results demonstrate that the intent classifier achieves a weighted F1-score of 0.995, the speaker verification module achieves an Equal Error Rate (EER) below 2% on enrolled speakers, and the end-to-end pipeline processes transactions in under 200ms on CPU. The adaptive learning component updates the fraud detector's baseline user profile after each verified transaction, enabling continuous personalization. The system is validated through a full-stack implementation with a React frontend, FastAPI backend, and Razorpay payment gateway integration.</w:t>
      </w:r>
    </w:p>
    <w:p>
      <w:pPr>
        <w:jc w:val="both"/>
      </w:pPr>
      <w:r>
        <w:rPr>
          <w:b/>
          <w:i/>
          <w:sz w:val="18"/>
        </w:rPr>
        <w:t>Keywords—</w:t>
      </w:r>
      <w:r>
        <w:rPr>
          <w:i/>
          <w:sz w:val="18"/>
        </w:rPr>
        <w:t>voice biometrics, speaker verification, ECAPA-TDNN, intent classification, LSTM, fraud detection, isolation forest, risk-adaptive authentication, anti-spoofing, Whisper STT</w:t>
      </w:r>
    </w:p>
    <w:p>
      <w:pPr>
        <w:jc w:val="center"/>
      </w:pPr>
      <w:r>
        <w:rPr>
          <w:rFonts w:ascii="Times New Roman" w:hAnsi="Times New Roman"/>
          <w:b/>
          <w:sz w:val="20"/>
        </w:rPr>
        <w:t>I. INTRODUCTION</w:t>
      </w:r>
    </w:p>
    <w:p>
      <w:pPr>
        <w:ind w:firstLine="360"/>
        <w:jc w:val="both"/>
      </w:pPr>
      <w:r>
        <w:rPr>
          <w:rFonts w:ascii="Times New Roman" w:hAnsi="Times New Roman"/>
          <w:sz w:val="20"/>
        </w:rPr>
        <w:t>The proliferation of voice-enabled interfaces in consumer technology has created new opportunities for hands-free financial transactions. Virtual assistants such as Alexa, Google Assistant, and Siri have normalized voice interaction, yet financial applications remain largely restricted to text-based interfaces due to security concerns. Voice-based payment systems must address three fundamental challenges: (a) accurate transcription of spoken commands, (b) reliable identification of the authorized speaker, and (c) detection of fraudulent transaction patterns — all in real-time.</w:t>
      </w:r>
    </w:p>
    <w:p>
      <w:pPr>
        <w:ind w:firstLine="360"/>
        <w:jc w:val="both"/>
      </w:pPr>
      <w:r>
        <w:rPr>
          <w:rFonts w:ascii="Times New Roman" w:hAnsi="Times New Roman"/>
          <w:sz w:val="20"/>
        </w:rPr>
        <w:t>Traditional authentication mechanisms such as PINs and passwords provide a single, static layer of security. However, in voice-based systems, the voice signal itself carries biometric information that can serve as an additional authentication factor. The challenge lies in combining these heterogeneous signals — speech content, speaker identity, and behavioral patterns — into a unified, risk-aware decision framework.</w:t>
      </w:r>
    </w:p>
    <w:p>
      <w:pPr>
        <w:ind w:firstLine="360"/>
        <w:jc w:val="both"/>
      </w:pPr>
      <w:r>
        <w:rPr>
          <w:rFonts w:ascii="Times New Roman" w:hAnsi="Times New Roman"/>
          <w:sz w:val="20"/>
        </w:rPr>
        <w:t>This paper presents a Risk-Adaptive Voice-Based Financial Assistant that addresses these challenges through a multi-modal ML pipeline. The system employs the A.N.T. (Analysis, Neutralization, Transaction) three-layer architecture: the Analysis layer performs speech-to-text and intent classification; the Neutralization layer handles speaker verification, anti-spoofing, and fraud detection; and the Transaction layer manages risk-adaptive authentication and payment execution. The key contributions of this work are:</w:t>
      </w:r>
    </w:p>
    <w:p>
      <w:pPr>
        <w:pStyle w:val="ListBullet"/>
        <w:ind w:left="720"/>
      </w:pPr>
      <w:r>
        <w:rPr>
          <w:rFonts w:ascii="Times New Roman" w:hAnsi="Times New Roman"/>
          <w:sz w:val="20"/>
        </w:rPr>
        <w:t>A multi-modal pipeline integrating STT, speaker verification, intent classification, and fraud detection with end-to-end latency under 200ms.</w:t>
      </w:r>
    </w:p>
    <w:p>
      <w:pPr>
        <w:pStyle w:val="ListBullet"/>
        <w:ind w:left="720"/>
      </w:pPr>
      <w:r>
        <w:rPr>
          <w:rFonts w:ascii="Times New Roman" w:hAnsi="Times New Roman"/>
          <w:sz w:val="20"/>
        </w:rPr>
        <w:t>A three-tier risk-adaptive authentication protocol that dynamically adjusts security requirements based on composite risk scoring.</w:t>
      </w:r>
    </w:p>
    <w:p>
      <w:pPr>
        <w:pStyle w:val="ListBullet"/>
        <w:ind w:left="720"/>
      </w:pPr>
      <w:r>
        <w:rPr>
          <w:rFonts w:ascii="Times New Roman" w:hAnsi="Times New Roman"/>
          <w:sz w:val="20"/>
        </w:rPr>
        <w:t>An anti-spoofing liveness detection mechanism using High-Frequency Energy (HFE) ratio analysis for zero-shot replay attack detection.</w:t>
      </w:r>
    </w:p>
    <w:p>
      <w:pPr>
        <w:pStyle w:val="ListBullet"/>
        <w:ind w:left="720"/>
      </w:pPr>
      <w:r>
        <w:rPr>
          <w:rFonts w:ascii="Times New Roman" w:hAnsi="Times New Roman"/>
          <w:sz w:val="20"/>
        </w:rPr>
        <w:t>An adaptive fraud profiling system that continuously updates user baselines from verified transactions.</w:t>
      </w:r>
    </w:p>
    <w:p>
      <w:pPr>
        <w:pStyle w:val="ListBullet"/>
        <w:ind w:left="720"/>
      </w:pPr>
      <w:r>
        <w:rPr>
          <w:rFonts w:ascii="Times New Roman" w:hAnsi="Times New Roman"/>
          <w:sz w:val="20"/>
        </w:rPr>
        <w:t>A complete full-stack implementation validated with real-world payment gateway (Razorpay) integration.</w:t>
      </w:r>
    </w:p>
    <w:p>
      <w:pPr>
        <w:jc w:val="center"/>
      </w:pPr>
      <w:r>
        <w:rPr>
          <w:rFonts w:ascii="Times New Roman" w:hAnsi="Times New Roman"/>
          <w:b/>
          <w:sz w:val="20"/>
        </w:rPr>
        <w:t>II. RELATED WORK</w:t>
      </w:r>
    </w:p>
    <w:p>
      <w:pPr>
        <w:ind w:firstLine="360"/>
        <w:jc w:val="both"/>
      </w:pPr>
      <w:r>
        <w:rPr>
          <w:rFonts w:ascii="Times New Roman" w:hAnsi="Times New Roman"/>
          <w:sz w:val="20"/>
        </w:rPr>
        <w:t>Speaker verification has seen significant advances with deep learning architectures. Desplanques et al. [1] introduced ECAPA-TDNN, which employs Squeeze-and-Excitation blocks and multi-scale feature aggregation to achieve state-of-the-art performance on VoxCeleb benchmarks. The architecture produces 192-dimensional speaker embeddings that capture fine-grained vocal characteristics, making it suitable for text-independent verification.</w:t>
      </w:r>
    </w:p>
    <w:p>
      <w:pPr>
        <w:ind w:firstLine="360"/>
        <w:jc w:val="both"/>
      </w:pPr>
      <w:r>
        <w:rPr>
          <w:rFonts w:ascii="Times New Roman" w:hAnsi="Times New Roman"/>
          <w:sz w:val="20"/>
        </w:rPr>
        <w:t>In the domain of speech recognition, Radford et al. [2] demonstrated that the Whisper model, trained on 680,000 hours of multilingual audio, achieves robust transcription across diverse acoustic conditions and accents. The model's ability to handle Indian English accents makes it particularly suitable for financial applications in the Indian market.</w:t>
      </w:r>
    </w:p>
    <w:p>
      <w:pPr>
        <w:ind w:firstLine="360"/>
        <w:jc w:val="both"/>
      </w:pPr>
      <w:r>
        <w:rPr>
          <w:rFonts w:ascii="Times New Roman" w:hAnsi="Times New Roman"/>
          <w:sz w:val="20"/>
        </w:rPr>
        <w:t>Fraud detection in financial systems has been extensively studied using anomaly detection techniques. Liu et al. [3] proposed the Isolation Forest algorithm, which isolates anomalies by randomly partitioning data, achieving linear time complexity — ideal for real-time transaction monitoring. Recent work by Chen et al. [4] has demonstrated that ensemble approaches combining unsupervised anomaly detection with supervised classification yield superior fraud detection performance.</w:t>
      </w:r>
    </w:p>
    <w:p>
      <w:pPr>
        <w:ind w:firstLine="360"/>
        <w:jc w:val="both"/>
      </w:pPr>
      <w:r>
        <w:rPr>
          <w:rFonts w:ascii="Times New Roman" w:hAnsi="Times New Roman"/>
          <w:sz w:val="20"/>
        </w:rPr>
        <w:t>Intent classification for conversational AI has evolved from rule-based systems to deep learning models. Kim et al. [5] showed that LSTM-based models with attention mechanisms achieve strong performance on intent classification benchmarks, particularly for domain-specific applications where training data is limited.</w:t>
      </w:r>
    </w:p>
    <w:p>
      <w:pPr>
        <w:ind w:firstLine="360"/>
        <w:jc w:val="both"/>
      </w:pPr>
      <w:r>
        <w:rPr>
          <w:rFonts w:ascii="Times New Roman" w:hAnsi="Times New Roman"/>
          <w:sz w:val="20"/>
        </w:rPr>
        <w:t>While each of these components has been studied independently, the integration of all four modalities — STT, speaker verification, intent classification, and fraud detection — into a unified risk-adaptive pipeline for financial transactions remains largely unexplored. Our work bridges this gap by proposing a cohesive architecture that leverages the outputs of each module to inform a dynamic authentication decision.</w:t>
      </w:r>
    </w:p>
    <w:p>
      <w:pPr>
        <w:jc w:val="center"/>
      </w:pPr>
      <w:r>
        <w:rPr>
          <w:rFonts w:ascii="Times New Roman" w:hAnsi="Times New Roman"/>
          <w:b/>
          <w:sz w:val="20"/>
        </w:rPr>
        <w:t>III. SYSTEM ARCHITECTURE</w:t>
      </w:r>
    </w:p>
    <w:p>
      <w:pPr>
        <w:ind w:firstLine="360"/>
        <w:jc w:val="both"/>
      </w:pPr>
      <w:r>
        <w:rPr>
          <w:rFonts w:ascii="Times New Roman" w:hAnsi="Times New Roman"/>
          <w:sz w:val="20"/>
        </w:rPr>
        <w:t>The system follows a three-layer A.N.T. architecture (Analysis, Neutralization, Transaction) implemented as a full-stack application with a React frontend, FastAPI backend, and SQLite database.</w:t>
      </w:r>
    </w:p>
    <w:p>
      <w:pPr>
        <w:jc w:val="left"/>
      </w:pPr>
      <w:r>
        <w:rPr>
          <w:rFonts w:ascii="Times New Roman" w:hAnsi="Times New Roman"/>
          <w:i/>
          <w:sz w:val="20"/>
        </w:rPr>
        <w:t>A. Analysis Layer</w:t>
      </w:r>
    </w:p>
    <w:p>
      <w:pPr>
        <w:ind w:firstLine="360"/>
        <w:jc w:val="both"/>
      </w:pPr>
      <w:r>
        <w:rPr>
          <w:rFonts w:ascii="Times New Roman" w:hAnsi="Times New Roman"/>
          <w:sz w:val="20"/>
        </w:rPr>
        <w:t>The Analysis layer processes the raw voice input to extract semantic content. It consists of two sub-modules:</w:t>
      </w:r>
    </w:p>
    <w:p>
      <w:pPr>
        <w:ind w:firstLine="360"/>
        <w:jc w:val="both"/>
      </w:pPr>
      <w:r>
        <w:rPr>
          <w:rFonts w:ascii="Times New Roman" w:hAnsi="Times New Roman"/>
          <w:sz w:val="20"/>
        </w:rPr>
        <w:t>1) Speech-to-Text (STT): The STT module utilizes OpenAI's Whisper model (medium variant, 769M parameters). Audio input is converted to 16kHz mono WAV format and processed through the encoder-decoder architecture. A confidence score is computed as the geometric mean of the segment-level no-speech probability complement and the exponential of the average log-probability:</w:t>
      </w:r>
    </w:p>
    <w:p>
      <w:pPr>
        <w:jc w:val="center"/>
      </w:pPr>
      <w:r>
        <w:rPr>
          <w:rFonts w:ascii="Times New Roman" w:hAnsi="Times New Roman"/>
          <w:i/>
          <w:sz w:val="20"/>
        </w:rPr>
        <w:t>C_stt = (1 - P_nospeech) · exp(avg_logprob) / 2</w:t>
      </w:r>
      <w:r>
        <w:rPr>
          <w:rFonts w:ascii="Times New Roman" w:hAnsi="Times New Roman"/>
          <w:sz w:val="20"/>
        </w:rPr>
        <w:t xml:space="preserve">    (1)</w:t>
      </w:r>
    </w:p>
    <w:p>
      <w:pPr>
        <w:ind w:firstLine="360"/>
        <w:jc w:val="both"/>
      </w:pPr>
      <w:r>
        <w:rPr>
          <w:rFonts w:ascii="Times New Roman" w:hAnsi="Times New Roman"/>
          <w:sz w:val="20"/>
        </w:rPr>
        <w:t>2) Intent Classification: A Bidirectional LSTM network classifies transcribed text into four financial intents: send_money, check_balance, transaction_history, and pay_bill. The architecture consists of an embedding layer (128-dim), a 2-layer BiLSTM (256 hidden units per direction), a dropout layer (p=0.3), and a fully connected output layer. Entity extraction is performed using regex-based pattern matching for amounts (₹), recipient names, and bill types.</w:t>
      </w:r>
    </w:p>
    <w:p>
      <w:pPr>
        <w:jc w:val="center"/>
      </w:pPr>
      <w:r>
        <w:rPr>
          <w:rFonts w:ascii="Times New Roman" w:hAnsi="Times New Roman"/>
          <w:i/>
          <w:sz w:val="20"/>
        </w:rPr>
        <w:t>h_t = [LSTM_fwd(x_t); LSTM_bwd(x_t)]</w:t>
      </w:r>
      <w:r>
        <w:rPr>
          <w:rFonts w:ascii="Times New Roman" w:hAnsi="Times New Roman"/>
          <w:sz w:val="20"/>
        </w:rPr>
        <w:t xml:space="preserve">    (2)</w:t>
      </w:r>
    </w:p>
    <w:p>
      <w:pPr>
        <w:jc w:val="center"/>
      </w:pPr>
      <w:r>
        <w:rPr>
          <w:rFonts w:ascii="Times New Roman" w:hAnsi="Times New Roman"/>
          <w:i/>
          <w:sz w:val="20"/>
        </w:rPr>
        <w:t>ŷ = softmax(W · [h_fwd_T; h_bwd_1] + b)</w:t>
      </w:r>
      <w:r>
        <w:rPr>
          <w:rFonts w:ascii="Times New Roman" w:hAnsi="Times New Roman"/>
          <w:sz w:val="20"/>
        </w:rPr>
        <w:t xml:space="preserve">    (3)</w:t>
      </w:r>
    </w:p>
    <w:p>
      <w:pPr>
        <w:jc w:val="left"/>
      </w:pPr>
      <w:r>
        <w:rPr>
          <w:rFonts w:ascii="Times New Roman" w:hAnsi="Times New Roman"/>
          <w:i/>
          <w:sz w:val="20"/>
        </w:rPr>
        <w:t>B. Neutralization Layer</w:t>
      </w:r>
    </w:p>
    <w:p>
      <w:pPr>
        <w:ind w:firstLine="360"/>
        <w:jc w:val="both"/>
      </w:pPr>
      <w:r>
        <w:rPr>
          <w:rFonts w:ascii="Times New Roman" w:hAnsi="Times New Roman"/>
          <w:sz w:val="20"/>
        </w:rPr>
        <w:t>The Neutralization layer performs security validation through speaker verification and fraud detection.</w:t>
      </w:r>
    </w:p>
    <w:p>
      <w:pPr>
        <w:ind w:firstLine="360"/>
        <w:jc w:val="both"/>
      </w:pPr>
      <w:r>
        <w:rPr>
          <w:rFonts w:ascii="Times New Roman" w:hAnsi="Times New Roman"/>
          <w:sz w:val="20"/>
        </w:rPr>
        <w:t>1) Speaker Verification: The speaker verification module uses the ECAPA-TDNN model (speechbrain/spkrec-ecapa-voxceleb) to extract 192-dimensional speaker embeddings. Verification is performed by computing the cosine similarity between the input embedding and the enrolled speaker profile:</w:t>
      </w:r>
    </w:p>
    <w:p>
      <w:pPr>
        <w:jc w:val="center"/>
      </w:pPr>
      <w:r>
        <w:rPr>
          <w:rFonts w:ascii="Times New Roman" w:hAnsi="Times New Roman"/>
          <w:i/>
          <w:sz w:val="20"/>
        </w:rPr>
        <w:t>sim(e_input, e_enrolled) = (e_input · e_enrolled) / (||e_input|| · ||e_enrolled||)</w:t>
      </w:r>
      <w:r>
        <w:rPr>
          <w:rFonts w:ascii="Times New Roman" w:hAnsi="Times New Roman"/>
          <w:sz w:val="20"/>
        </w:rPr>
        <w:t xml:space="preserve">    (4)</w:t>
      </w:r>
    </w:p>
    <w:p>
      <w:pPr>
        <w:ind w:firstLine="360"/>
        <w:jc w:val="both"/>
      </w:pPr>
      <w:r>
        <w:rPr>
          <w:rFonts w:ascii="Times New Roman" w:hAnsi="Times New Roman"/>
          <w:sz w:val="20"/>
        </w:rPr>
        <w:t>The verification decision follows a tiered threshold policy: similarity ≥ τ (0.45) indicates a verified speaker; 0.35 ≤ similarity &lt; τ triggers step-up authentication; similarity &lt; 0.35 results in a hard block. This policy is formalized as:</w:t>
      </w:r>
    </w:p>
    <w:p>
      <w:pPr>
        <w:jc w:val="center"/>
      </w:pPr>
      <w:r>
        <w:rPr>
          <w:rFonts w:ascii="Times New Roman" w:hAnsi="Times New Roman"/>
          <w:i/>
          <w:sz w:val="20"/>
        </w:rPr>
        <w:t>D_sv = { PASS if sim ≥ 0.45; STEP-UP if 0.35 ≤ sim &lt; 0.45; BLOCK if sim &lt; 0.35 }</w:t>
      </w:r>
      <w:r>
        <w:rPr>
          <w:rFonts w:ascii="Times New Roman" w:hAnsi="Times New Roman"/>
          <w:sz w:val="20"/>
        </w:rPr>
        <w:t xml:space="preserve">    (5)</w:t>
      </w:r>
    </w:p>
    <w:p>
      <w:pPr>
        <w:ind w:firstLine="360"/>
        <w:jc w:val="both"/>
      </w:pPr>
      <w:r>
        <w:rPr>
          <w:rFonts w:ascii="Times New Roman" w:hAnsi="Times New Roman"/>
          <w:sz w:val="20"/>
        </w:rPr>
        <w:t>2) Anti-Spoofing (Liveness Detection): A zero-shot liveness check is performed by analyzing the High-Frequency Energy (HFE) ratio of the input audio. Replay attacks typically exhibit attenuated high-frequency content due to speaker/microphone frequency response limitations. The HFE ratio is computed as:</w:t>
      </w:r>
    </w:p>
    <w:p>
      <w:pPr>
        <w:jc w:val="center"/>
      </w:pPr>
      <w:r>
        <w:rPr>
          <w:rFonts w:ascii="Times New Roman" w:hAnsi="Times New Roman"/>
          <w:i/>
          <w:sz w:val="20"/>
        </w:rPr>
        <w:t>HFE_ratio = E_high / E_total, where E_high = Σ|X(f)|² for f &gt; f_s/4</w:t>
      </w:r>
      <w:r>
        <w:rPr>
          <w:rFonts w:ascii="Times New Roman" w:hAnsi="Times New Roman"/>
          <w:sz w:val="20"/>
        </w:rPr>
        <w:t xml:space="preserve">    (6)</w:t>
      </w:r>
    </w:p>
    <w:p>
      <w:pPr>
        <w:ind w:firstLine="360"/>
        <w:jc w:val="both"/>
      </w:pPr>
      <w:r>
        <w:rPr>
          <w:rFonts w:ascii="Times New Roman" w:hAnsi="Times New Roman"/>
          <w:sz w:val="20"/>
        </w:rPr>
        <w:t>An input is classified as a potential replay attack if HFE_ratio &lt; 0.1, indicating insufficient high-frequency energy content.</w:t>
      </w:r>
    </w:p>
    <w:p>
      <w:pPr>
        <w:ind w:firstLine="360"/>
        <w:jc w:val="both"/>
      </w:pPr>
      <w:r>
        <w:rPr>
          <w:rFonts w:ascii="Times New Roman" w:hAnsi="Times New Roman"/>
          <w:sz w:val="20"/>
        </w:rPr>
        <w:t>3) Fraud Detection: The fraud detection module employs an ensemble of Isolation Forest (unsupervised) and Random Forest (supervised) classifiers. Nine transaction features are extracted: amount, hour_of_day, day_of_week, transaction_frequency, avg_transaction_amount, amount_deviation, time_since_last_transaction, is_new_recipient, and failed_auth_attempts. The composite risk score is:</w:t>
      </w:r>
    </w:p>
    <w:p>
      <w:pPr>
        <w:jc w:val="center"/>
      </w:pPr>
      <w:r>
        <w:rPr>
          <w:rFonts w:ascii="Times New Roman" w:hAnsi="Times New Roman"/>
          <w:i/>
          <w:sz w:val="20"/>
        </w:rPr>
        <w:t>R_fraud = 0.4 · R_IF + 0.6 · R_RF</w:t>
      </w:r>
      <w:r>
        <w:rPr>
          <w:rFonts w:ascii="Times New Roman" w:hAnsi="Times New Roman"/>
          <w:sz w:val="20"/>
        </w:rPr>
        <w:t xml:space="preserve">    (7)</w:t>
      </w:r>
    </w:p>
    <w:p>
      <w:pPr>
        <w:ind w:firstLine="360"/>
        <w:jc w:val="both"/>
      </w:pPr>
      <w:r>
        <w:rPr>
          <w:rFonts w:ascii="Times New Roman" w:hAnsi="Times New Roman"/>
          <w:sz w:val="20"/>
        </w:rPr>
        <w:t>where R_IF is the normalized Isolation Forest anomaly score and R_RF is the Random Forest fraud probability. Risk tiers are mapped as: Low (R ≤ 0.3), Medium (0.3 &lt; R ≤ 0.7), High (R &gt; 0.7).</w:t>
      </w:r>
    </w:p>
    <w:p>
      <w:pPr>
        <w:jc w:val="left"/>
      </w:pPr>
      <w:r>
        <w:rPr>
          <w:rFonts w:ascii="Times New Roman" w:hAnsi="Times New Roman"/>
          <w:i/>
          <w:sz w:val="20"/>
        </w:rPr>
        <w:t>C. Transaction Layer</w:t>
      </w:r>
    </w:p>
    <w:p>
      <w:pPr>
        <w:ind w:firstLine="360"/>
        <w:jc w:val="both"/>
      </w:pPr>
      <w:r>
        <w:rPr>
          <w:rFonts w:ascii="Times New Roman" w:hAnsi="Times New Roman"/>
          <w:sz w:val="20"/>
        </w:rPr>
        <w:t>The Transaction layer implements the risk-adaptive authentication protocol. The Auth Logic module evaluates the combined outputs of the Neutralization layer to determine the authentication requirement:</w:t>
      </w:r>
    </w:p>
    <w:p>
      <w:pPr>
        <w:ind w:firstLine="360"/>
        <w:jc w:val="both"/>
      </w:pPr>
      <w:r>
        <w:rPr>
          <w:rFonts w:ascii="Times New Roman" w:hAnsi="Times New Roman"/>
          <w:sz w:val="20"/>
        </w:rPr>
        <w:t>Low Risk (PIN Only): Speaker verified, no fraud anomalies. The user enters a 4-digit PIN (bcrypt-hashed) to authorize the transaction.</w:t>
      </w:r>
    </w:p>
    <w:p>
      <w:pPr>
        <w:ind w:firstLine="360"/>
        <w:jc w:val="both"/>
      </w:pPr>
      <w:r>
        <w:rPr>
          <w:rFonts w:ascii="Times New Roman" w:hAnsi="Times New Roman"/>
          <w:sz w:val="20"/>
        </w:rPr>
        <w:t>Medium Risk (Step-Up Auth): Borderline speaker similarity or moderate fraud risk. The user must provide voice re-confirmation by reading a challenge phrase, followed by PIN entry. A maximum of 3 re-verification attempts is enforced before automatic cancellation.</w:t>
      </w:r>
    </w:p>
    <w:p>
      <w:pPr>
        <w:ind w:firstLine="360"/>
        <w:jc w:val="both"/>
      </w:pPr>
      <w:r>
        <w:rPr>
          <w:rFonts w:ascii="Times New Roman" w:hAnsi="Times New Roman"/>
          <w:sz w:val="20"/>
        </w:rPr>
        <w:t>High Risk (Block): Speaker mismatch below the hard-block threshold (&lt; 0.35), spoofing detected, or high fraud score. The transaction is blocked and an alert is generated.</w:t>
      </w:r>
    </w:p>
    <w:p>
      <w:pPr>
        <w:jc w:val="left"/>
      </w:pPr>
      <w:r>
        <w:rPr>
          <w:rFonts w:ascii="Times New Roman" w:hAnsi="Times New Roman"/>
          <w:i/>
          <w:sz w:val="20"/>
        </w:rPr>
        <w:t>D. Adaptive Learning</w:t>
      </w:r>
    </w:p>
    <w:p>
      <w:pPr>
        <w:ind w:firstLine="360"/>
        <w:jc w:val="both"/>
      </w:pPr>
      <w:r>
        <w:rPr>
          <w:rFonts w:ascii="Times New Roman" w:hAnsi="Times New Roman"/>
          <w:sz w:val="20"/>
        </w:rPr>
        <w:t>The system implements a continuous learning mechanism in the fraud detection module. After each successfully completed transaction (PIN verified + Razorpay payment captured), the system updates the user's behavioral profile by recording the transaction amount into a sliding window of the 50 most recent transactions. The running average is recalculated, allowing the fraud detector's baseline to adapt to the user's evolving transaction patterns:</w:t>
      </w:r>
    </w:p>
    <w:p>
      <w:pPr>
        <w:jc w:val="center"/>
      </w:pPr>
      <w:r>
        <w:rPr>
          <w:rFonts w:ascii="Times New Roman" w:hAnsi="Times New Roman"/>
          <w:i/>
          <w:sz w:val="20"/>
        </w:rPr>
        <w:t>μ_new = (1/N) · Σ a_i for i in [max(1, n-49), n]</w:t>
      </w:r>
      <w:r>
        <w:rPr>
          <w:rFonts w:ascii="Times New Roman" w:hAnsi="Times New Roman"/>
          <w:sz w:val="20"/>
        </w:rPr>
        <w:t xml:space="preserve">    (8)</w:t>
      </w:r>
    </w:p>
    <w:p>
      <w:pPr>
        <w:ind w:firstLine="360"/>
        <w:jc w:val="both"/>
      </w:pPr>
      <w:r>
        <w:rPr>
          <w:rFonts w:ascii="Times New Roman" w:hAnsi="Times New Roman"/>
          <w:sz w:val="20"/>
        </w:rPr>
        <w:t>This online adaptation reduces false positives for users whose spending patterns change over time, while maintaining sensitivity to genuinely anomalous transactions.</w:t>
      </w:r>
    </w:p>
    <w:p>
      <w:pPr>
        <w:jc w:val="center"/>
      </w:pPr>
      <w:r>
        <w:rPr>
          <w:rFonts w:ascii="Times New Roman" w:hAnsi="Times New Roman"/>
          <w:b/>
          <w:sz w:val="20"/>
        </w:rPr>
        <w:t>IV. EXPERIMENTAL RESULTS</w:t>
      </w:r>
    </w:p>
    <w:p>
      <w:pPr>
        <w:jc w:val="left"/>
      </w:pPr>
      <w:r>
        <w:rPr>
          <w:rFonts w:ascii="Times New Roman" w:hAnsi="Times New Roman"/>
          <w:i/>
          <w:sz w:val="20"/>
        </w:rPr>
        <w:t>A. Intent Classification Performance</w:t>
      </w:r>
    </w:p>
    <w:p>
      <w:pPr>
        <w:ind w:firstLine="360"/>
        <w:jc w:val="both"/>
      </w:pPr>
      <w:r>
        <w:rPr>
          <w:rFonts w:ascii="Times New Roman" w:hAnsi="Times New Roman"/>
          <w:sz w:val="20"/>
        </w:rPr>
        <w:t>The BiLSTM intent classifier was trained on 2,000 synthetically generated financial command samples (500 per intent class) with augmentation including filler word injection, word dropout, and Whisper-style transcription artifacts. The model was trained for 50 epochs with Adam optimizer (lr=0.001), StepLR scheduling (γ=0.5, step=10), and gradient clipping (max_norm=1.0).</w:t>
      </w:r>
    </w:p>
    <w:p>
      <w:pPr>
        <w:ind w:firstLine="360"/>
        <w:jc w:val="both"/>
      </w:pPr>
      <w:r>
        <w:rPr>
          <w:rFonts w:ascii="Times New Roman" w:hAnsi="Times New Roman"/>
          <w:sz w:val="20"/>
        </w:rPr>
      </w:r>
    </w:p>
    <w:p>
      <w:pPr>
        <w:jc w:val="center"/>
      </w:pPr>
      <w:r>
        <w:rPr>
          <w:rFonts w:ascii="Times New Roman" w:hAnsi="Times New Roman"/>
          <w:b/>
          <w:sz w:val="16"/>
        </w:rPr>
        <w:t>TABLE I</w:t>
      </w:r>
    </w:p>
    <w:p>
      <w:pPr>
        <w:jc w:val="center"/>
      </w:pPr>
      <w:r>
        <w:rPr>
          <w:rFonts w:ascii="Times New Roman" w:hAnsi="Times New Roman"/>
          <w:sz w:val="16"/>
        </w:rPr>
        <w:t>INTENT CLASSIFICATION RESULTS (TEST SET, N=400)</w:t>
      </w:r>
    </w:p>
    <w:tbl>
      <w:tblPr>
        <w:tblStyle w:val="TableGrid"/>
        <w:tblW w:type="auto" w:w="0"/>
        <w:tblLook w:firstColumn="1" w:firstRow="1" w:lastColumn="0" w:lastRow="0" w:noHBand="0" w:noVBand="1" w:val="04A0"/>
      </w:tblPr>
      <w:tblGrid>
        <w:gridCol w:w="2610"/>
        <w:gridCol w:w="2610"/>
        <w:gridCol w:w="2610"/>
        <w:gridCol w:w="2610"/>
      </w:tblGrid>
      <w:tr>
        <w:tc>
          <w:tcPr>
            <w:tcW w:type="dxa" w:w="2610"/>
          </w:tcPr>
          <w:p>
            <w:pPr>
              <w:jc w:val="center"/>
            </w:pPr>
            <w:r>
              <w:rPr>
                <w:rFonts w:ascii="Times New Roman" w:hAnsi="Times New Roman"/>
                <w:b/>
                <w:sz w:val="16"/>
              </w:rPr>
              <w:t>Intent</w:t>
            </w:r>
          </w:p>
        </w:tc>
        <w:tc>
          <w:tcPr>
            <w:tcW w:type="dxa" w:w="2610"/>
          </w:tcPr>
          <w:p>
            <w:pPr>
              <w:jc w:val="center"/>
            </w:pPr>
            <w:r>
              <w:rPr>
                <w:rFonts w:ascii="Times New Roman" w:hAnsi="Times New Roman"/>
                <w:b/>
                <w:sz w:val="16"/>
              </w:rPr>
              <w:t>Precision</w:t>
            </w:r>
          </w:p>
        </w:tc>
        <w:tc>
          <w:tcPr>
            <w:tcW w:type="dxa" w:w="2610"/>
          </w:tcPr>
          <w:p>
            <w:pPr>
              <w:jc w:val="center"/>
            </w:pPr>
            <w:r>
              <w:rPr>
                <w:rFonts w:ascii="Times New Roman" w:hAnsi="Times New Roman"/>
                <w:b/>
                <w:sz w:val="16"/>
              </w:rPr>
              <w:t>Recall</w:t>
            </w:r>
          </w:p>
        </w:tc>
        <w:tc>
          <w:tcPr>
            <w:tcW w:type="dxa" w:w="2610"/>
          </w:tcPr>
          <w:p>
            <w:pPr>
              <w:jc w:val="center"/>
            </w:pPr>
            <w:r>
              <w:rPr>
                <w:rFonts w:ascii="Times New Roman" w:hAnsi="Times New Roman"/>
                <w:b/>
                <w:sz w:val="16"/>
              </w:rPr>
              <w:t>F1-Score</w:t>
            </w:r>
          </w:p>
        </w:tc>
      </w:tr>
      <w:tr>
        <w:tc>
          <w:tcPr>
            <w:tcW w:type="dxa" w:w="2610"/>
          </w:tcPr>
          <w:p>
            <w:pPr>
              <w:jc w:val="center"/>
            </w:pPr>
            <w:r>
              <w:rPr>
                <w:rFonts w:ascii="Times New Roman" w:hAnsi="Times New Roman"/>
                <w:sz w:val="16"/>
              </w:rPr>
              <w:t>send_money</w:t>
            </w:r>
          </w:p>
        </w:tc>
        <w:tc>
          <w:tcPr>
            <w:tcW w:type="dxa" w:w="2610"/>
          </w:tcPr>
          <w:p>
            <w:pPr>
              <w:jc w:val="center"/>
            </w:pPr>
            <w:r>
              <w:rPr>
                <w:rFonts w:ascii="Times New Roman" w:hAnsi="Times New Roman"/>
                <w:sz w:val="16"/>
              </w:rPr>
              <w:t>1.00</w:t>
            </w:r>
          </w:p>
        </w:tc>
        <w:tc>
          <w:tcPr>
            <w:tcW w:type="dxa" w:w="2610"/>
          </w:tcPr>
          <w:p>
            <w:pPr>
              <w:jc w:val="center"/>
            </w:pPr>
            <w:r>
              <w:rPr>
                <w:rFonts w:ascii="Times New Roman" w:hAnsi="Times New Roman"/>
                <w:sz w:val="16"/>
              </w:rPr>
              <w:t>0.98</w:t>
            </w:r>
          </w:p>
        </w:tc>
        <w:tc>
          <w:tcPr>
            <w:tcW w:type="dxa" w:w="2610"/>
          </w:tcPr>
          <w:p>
            <w:pPr>
              <w:jc w:val="center"/>
            </w:pPr>
            <w:r>
              <w:rPr>
                <w:rFonts w:ascii="Times New Roman" w:hAnsi="Times New Roman"/>
                <w:sz w:val="16"/>
              </w:rPr>
              <w:t>0.99</w:t>
            </w:r>
          </w:p>
        </w:tc>
      </w:tr>
      <w:tr>
        <w:tc>
          <w:tcPr>
            <w:tcW w:type="dxa" w:w="2610"/>
          </w:tcPr>
          <w:p>
            <w:pPr>
              <w:jc w:val="center"/>
            </w:pPr>
            <w:r>
              <w:rPr>
                <w:rFonts w:ascii="Times New Roman" w:hAnsi="Times New Roman"/>
                <w:sz w:val="16"/>
              </w:rPr>
              <w:t>check_balance</w:t>
            </w:r>
          </w:p>
        </w:tc>
        <w:tc>
          <w:tcPr>
            <w:tcW w:type="dxa" w:w="2610"/>
          </w:tcPr>
          <w:p>
            <w:pPr>
              <w:jc w:val="center"/>
            </w:pPr>
            <w:r>
              <w:rPr>
                <w:rFonts w:ascii="Times New Roman" w:hAnsi="Times New Roman"/>
                <w:sz w:val="16"/>
              </w:rPr>
              <w:t>1.00</w:t>
            </w:r>
          </w:p>
        </w:tc>
        <w:tc>
          <w:tcPr>
            <w:tcW w:type="dxa" w:w="2610"/>
          </w:tcPr>
          <w:p>
            <w:pPr>
              <w:jc w:val="center"/>
            </w:pPr>
            <w:r>
              <w:rPr>
                <w:rFonts w:ascii="Times New Roman" w:hAnsi="Times New Roman"/>
                <w:sz w:val="16"/>
              </w:rPr>
              <w:t>1.00</w:t>
            </w:r>
          </w:p>
        </w:tc>
        <w:tc>
          <w:tcPr>
            <w:tcW w:type="dxa" w:w="2610"/>
          </w:tcPr>
          <w:p>
            <w:pPr>
              <w:jc w:val="center"/>
            </w:pPr>
            <w:r>
              <w:rPr>
                <w:rFonts w:ascii="Times New Roman" w:hAnsi="Times New Roman"/>
                <w:sz w:val="16"/>
              </w:rPr>
              <w:t>1.00</w:t>
            </w:r>
          </w:p>
        </w:tc>
      </w:tr>
      <w:tr>
        <w:tc>
          <w:tcPr>
            <w:tcW w:type="dxa" w:w="2610"/>
          </w:tcPr>
          <w:p>
            <w:pPr>
              <w:jc w:val="center"/>
            </w:pPr>
            <w:r>
              <w:rPr>
                <w:rFonts w:ascii="Times New Roman" w:hAnsi="Times New Roman"/>
                <w:sz w:val="16"/>
              </w:rPr>
              <w:t>transaction_history</w:t>
            </w:r>
          </w:p>
        </w:tc>
        <w:tc>
          <w:tcPr>
            <w:tcW w:type="dxa" w:w="2610"/>
          </w:tcPr>
          <w:p>
            <w:pPr>
              <w:jc w:val="center"/>
            </w:pPr>
            <w:r>
              <w:rPr>
                <w:rFonts w:ascii="Times New Roman" w:hAnsi="Times New Roman"/>
                <w:sz w:val="16"/>
              </w:rPr>
              <w:t>1.00</w:t>
            </w:r>
          </w:p>
        </w:tc>
        <w:tc>
          <w:tcPr>
            <w:tcW w:type="dxa" w:w="2610"/>
          </w:tcPr>
          <w:p>
            <w:pPr>
              <w:jc w:val="center"/>
            </w:pPr>
            <w:r>
              <w:rPr>
                <w:rFonts w:ascii="Times New Roman" w:hAnsi="Times New Roman"/>
                <w:sz w:val="16"/>
              </w:rPr>
              <w:t>1.00</w:t>
            </w:r>
          </w:p>
        </w:tc>
        <w:tc>
          <w:tcPr>
            <w:tcW w:type="dxa" w:w="2610"/>
          </w:tcPr>
          <w:p>
            <w:pPr>
              <w:jc w:val="center"/>
            </w:pPr>
            <w:r>
              <w:rPr>
                <w:rFonts w:ascii="Times New Roman" w:hAnsi="Times New Roman"/>
                <w:sz w:val="16"/>
              </w:rPr>
              <w:t>1.00</w:t>
            </w:r>
          </w:p>
        </w:tc>
      </w:tr>
      <w:tr>
        <w:tc>
          <w:tcPr>
            <w:tcW w:type="dxa" w:w="2610"/>
          </w:tcPr>
          <w:p>
            <w:pPr>
              <w:jc w:val="center"/>
            </w:pPr>
            <w:r>
              <w:rPr>
                <w:rFonts w:ascii="Times New Roman" w:hAnsi="Times New Roman"/>
                <w:sz w:val="16"/>
              </w:rPr>
              <w:t>pay_bill</w:t>
            </w:r>
          </w:p>
        </w:tc>
        <w:tc>
          <w:tcPr>
            <w:tcW w:type="dxa" w:w="2610"/>
          </w:tcPr>
          <w:p>
            <w:pPr>
              <w:jc w:val="center"/>
            </w:pPr>
            <w:r>
              <w:rPr>
                <w:rFonts w:ascii="Times New Roman" w:hAnsi="Times New Roman"/>
                <w:sz w:val="16"/>
              </w:rPr>
              <w:t>0.98</w:t>
            </w:r>
          </w:p>
        </w:tc>
        <w:tc>
          <w:tcPr>
            <w:tcW w:type="dxa" w:w="2610"/>
          </w:tcPr>
          <w:p>
            <w:pPr>
              <w:jc w:val="center"/>
            </w:pPr>
            <w:r>
              <w:rPr>
                <w:rFonts w:ascii="Times New Roman" w:hAnsi="Times New Roman"/>
                <w:sz w:val="16"/>
              </w:rPr>
              <w:t>1.00</w:t>
            </w:r>
          </w:p>
        </w:tc>
        <w:tc>
          <w:tcPr>
            <w:tcW w:type="dxa" w:w="2610"/>
          </w:tcPr>
          <w:p>
            <w:pPr>
              <w:jc w:val="center"/>
            </w:pPr>
            <w:r>
              <w:rPr>
                <w:rFonts w:ascii="Times New Roman" w:hAnsi="Times New Roman"/>
                <w:sz w:val="16"/>
              </w:rPr>
              <w:t>0.99</w:t>
            </w:r>
          </w:p>
        </w:tc>
      </w:tr>
      <w:tr>
        <w:tc>
          <w:tcPr>
            <w:tcW w:type="dxa" w:w="2610"/>
          </w:tcPr>
          <w:p>
            <w:pPr>
              <w:jc w:val="center"/>
            </w:pPr>
            <w:r>
              <w:rPr>
                <w:rFonts w:ascii="Times New Roman" w:hAnsi="Times New Roman"/>
                <w:b/>
                <w:sz w:val="16"/>
              </w:rPr>
              <w:t>Weighted Avg</w:t>
            </w:r>
          </w:p>
        </w:tc>
        <w:tc>
          <w:tcPr>
            <w:tcW w:type="dxa" w:w="2610"/>
          </w:tcPr>
          <w:p>
            <w:pPr>
              <w:jc w:val="center"/>
            </w:pPr>
            <w:r>
              <w:rPr>
                <w:rFonts w:ascii="Times New Roman" w:hAnsi="Times New Roman"/>
                <w:b/>
                <w:sz w:val="16"/>
              </w:rPr>
              <w:t>1.00</w:t>
            </w:r>
          </w:p>
        </w:tc>
        <w:tc>
          <w:tcPr>
            <w:tcW w:type="dxa" w:w="2610"/>
          </w:tcPr>
          <w:p>
            <w:pPr>
              <w:jc w:val="center"/>
            </w:pPr>
            <w:r>
              <w:rPr>
                <w:rFonts w:ascii="Times New Roman" w:hAnsi="Times New Roman"/>
                <w:b/>
                <w:sz w:val="16"/>
              </w:rPr>
              <w:t>0.99</w:t>
            </w:r>
          </w:p>
        </w:tc>
        <w:tc>
          <w:tcPr>
            <w:tcW w:type="dxa" w:w="2610"/>
          </w:tcPr>
          <w:p>
            <w:pPr>
              <w:jc w:val="center"/>
            </w:pPr>
            <w:r>
              <w:rPr>
                <w:rFonts w:ascii="Times New Roman" w:hAnsi="Times New Roman"/>
                <w:b/>
                <w:sz w:val="16"/>
              </w:rPr>
              <w:t>0.995</w:t>
            </w:r>
          </w:p>
        </w:tc>
      </w:tr>
    </w:tbl>
    <w:p>
      <w:pPr>
        <w:ind w:firstLine="360"/>
        <w:jc w:val="both"/>
      </w:pPr>
      <w:r>
        <w:rPr>
          <w:rFonts w:ascii="Times New Roman" w:hAnsi="Times New Roman"/>
          <w:sz w:val="20"/>
        </w:rPr>
        <w:t>The model achieved a weighted F1-score of 0.995 on the held-out test set (400 samples, 20% split). Convergence was rapid, with the model reaching 99.5% test accuracy by epoch 5, and maintaining stability through the remaining 45 epochs. The only misclassifications (2 out of 400) occurred between send_money and pay_bill intents, which share overlapping vocabulary (e.g., 'pay', 'amount', 'rupees').</w:t>
      </w:r>
    </w:p>
    <w:p>
      <w:pPr>
        <w:jc w:val="left"/>
      </w:pPr>
      <w:r>
        <w:rPr>
          <w:rFonts w:ascii="Times New Roman" w:hAnsi="Times New Roman"/>
          <w:i/>
          <w:sz w:val="20"/>
        </w:rPr>
        <w:t>B. Speaker Verification Performance</w:t>
      </w:r>
    </w:p>
    <w:p>
      <w:pPr>
        <w:ind w:firstLine="360"/>
        <w:jc w:val="both"/>
      </w:pPr>
      <w:r>
        <w:rPr>
          <w:rFonts w:ascii="Times New Roman" w:hAnsi="Times New Roman"/>
          <w:sz w:val="20"/>
        </w:rPr>
        <w:t>The ECAPA-TDNN speaker verification module was evaluated using the pre-trained speechbrain/spkrec-ecapa-voxceleb model. The enrollment process requires a minimum of 3 audio samples per speaker. The cosine similarity threshold was set to τ = 0.45 based on empirical tuning. Table II summarizes the verification results across different speaker matching scenarios.</w:t>
      </w:r>
    </w:p>
    <w:p>
      <w:pPr>
        <w:jc w:val="center"/>
      </w:pPr>
      <w:r>
        <w:rPr>
          <w:rFonts w:ascii="Times New Roman" w:hAnsi="Times New Roman"/>
          <w:b/>
          <w:sz w:val="16"/>
        </w:rPr>
        <w:t>TABLE II</w:t>
      </w:r>
    </w:p>
    <w:p>
      <w:pPr>
        <w:jc w:val="center"/>
      </w:pPr>
      <w:r>
        <w:rPr>
          <w:rFonts w:ascii="Times New Roman" w:hAnsi="Times New Roman"/>
          <w:sz w:val="16"/>
        </w:rPr>
        <w:t>SPEAKER VERIFICATION RESULTS</w:t>
      </w:r>
    </w:p>
    <w:tbl>
      <w:tblPr>
        <w:tblStyle w:val="TableGrid"/>
        <w:tblW w:type="auto" w:w="0"/>
        <w:tblLook w:firstColumn="1" w:firstRow="1" w:lastColumn="0" w:lastRow="0" w:noHBand="0" w:noVBand="1" w:val="04A0"/>
      </w:tblPr>
      <w:tblGrid>
        <w:gridCol w:w="3480"/>
        <w:gridCol w:w="3480"/>
        <w:gridCol w:w="3480"/>
      </w:tblGrid>
      <w:tr>
        <w:tc>
          <w:tcPr>
            <w:tcW w:type="dxa" w:w="3480"/>
          </w:tcPr>
          <w:p>
            <w:pPr>
              <w:jc w:val="center"/>
            </w:pPr>
            <w:r>
              <w:rPr>
                <w:rFonts w:ascii="Times New Roman" w:hAnsi="Times New Roman"/>
                <w:b/>
                <w:sz w:val="16"/>
              </w:rPr>
              <w:t>Scenario</w:t>
            </w:r>
          </w:p>
        </w:tc>
        <w:tc>
          <w:tcPr>
            <w:tcW w:type="dxa" w:w="3480"/>
          </w:tcPr>
          <w:p>
            <w:pPr>
              <w:jc w:val="center"/>
            </w:pPr>
            <w:r>
              <w:rPr>
                <w:rFonts w:ascii="Times New Roman" w:hAnsi="Times New Roman"/>
                <w:b/>
                <w:sz w:val="16"/>
              </w:rPr>
              <w:t>Avg. Similarity</w:t>
            </w:r>
          </w:p>
        </w:tc>
        <w:tc>
          <w:tcPr>
            <w:tcW w:type="dxa" w:w="3480"/>
          </w:tcPr>
          <w:p>
            <w:pPr>
              <w:jc w:val="center"/>
            </w:pPr>
            <w:r>
              <w:rPr>
                <w:rFonts w:ascii="Times New Roman" w:hAnsi="Times New Roman"/>
                <w:b/>
                <w:sz w:val="16"/>
              </w:rPr>
              <w:t>Decision</w:t>
            </w:r>
          </w:p>
        </w:tc>
      </w:tr>
      <w:tr>
        <w:tc>
          <w:tcPr>
            <w:tcW w:type="dxa" w:w="3480"/>
          </w:tcPr>
          <w:p>
            <w:pPr>
              <w:jc w:val="center"/>
            </w:pPr>
            <w:r>
              <w:rPr>
                <w:rFonts w:ascii="Times New Roman" w:hAnsi="Times New Roman"/>
                <w:sz w:val="16"/>
              </w:rPr>
              <w:t>Same Speaker (enrolled)</w:t>
            </w:r>
          </w:p>
        </w:tc>
        <w:tc>
          <w:tcPr>
            <w:tcW w:type="dxa" w:w="3480"/>
          </w:tcPr>
          <w:p>
            <w:pPr>
              <w:jc w:val="center"/>
            </w:pPr>
            <w:r>
              <w:rPr>
                <w:rFonts w:ascii="Times New Roman" w:hAnsi="Times New Roman"/>
                <w:sz w:val="16"/>
              </w:rPr>
              <w:t>0.82 - 0.95</w:t>
            </w:r>
          </w:p>
        </w:tc>
        <w:tc>
          <w:tcPr>
            <w:tcW w:type="dxa" w:w="3480"/>
          </w:tcPr>
          <w:p>
            <w:pPr>
              <w:jc w:val="center"/>
            </w:pPr>
            <w:r>
              <w:rPr>
                <w:rFonts w:ascii="Times New Roman" w:hAnsi="Times New Roman"/>
                <w:sz w:val="16"/>
              </w:rPr>
              <w:t>PASS</w:t>
            </w:r>
          </w:p>
        </w:tc>
      </w:tr>
      <w:tr>
        <w:tc>
          <w:tcPr>
            <w:tcW w:type="dxa" w:w="3480"/>
          </w:tcPr>
          <w:p>
            <w:pPr>
              <w:jc w:val="center"/>
            </w:pPr>
            <w:r>
              <w:rPr>
                <w:rFonts w:ascii="Times New Roman" w:hAnsi="Times New Roman"/>
                <w:sz w:val="16"/>
              </w:rPr>
              <w:t>Different Speaker</w:t>
            </w:r>
          </w:p>
        </w:tc>
        <w:tc>
          <w:tcPr>
            <w:tcW w:type="dxa" w:w="3480"/>
          </w:tcPr>
          <w:p>
            <w:pPr>
              <w:jc w:val="center"/>
            </w:pPr>
            <w:r>
              <w:rPr>
                <w:rFonts w:ascii="Times New Roman" w:hAnsi="Times New Roman"/>
                <w:sz w:val="16"/>
              </w:rPr>
              <w:t>0.05 - 0.15</w:t>
            </w:r>
          </w:p>
        </w:tc>
        <w:tc>
          <w:tcPr>
            <w:tcW w:type="dxa" w:w="3480"/>
          </w:tcPr>
          <w:p>
            <w:pPr>
              <w:jc w:val="center"/>
            </w:pPr>
            <w:r>
              <w:rPr>
                <w:rFonts w:ascii="Times New Roman" w:hAnsi="Times New Roman"/>
                <w:sz w:val="16"/>
              </w:rPr>
              <w:t>BLOCK</w:t>
            </w:r>
          </w:p>
        </w:tc>
      </w:tr>
      <w:tr>
        <w:tc>
          <w:tcPr>
            <w:tcW w:type="dxa" w:w="3480"/>
          </w:tcPr>
          <w:p>
            <w:pPr>
              <w:jc w:val="center"/>
            </w:pPr>
            <w:r>
              <w:rPr>
                <w:rFonts w:ascii="Times New Roman" w:hAnsi="Times New Roman"/>
                <w:sz w:val="16"/>
              </w:rPr>
              <w:t>Same Speaker (noisy)</w:t>
            </w:r>
          </w:p>
        </w:tc>
        <w:tc>
          <w:tcPr>
            <w:tcW w:type="dxa" w:w="3480"/>
          </w:tcPr>
          <w:p>
            <w:pPr>
              <w:jc w:val="center"/>
            </w:pPr>
            <w:r>
              <w:rPr>
                <w:rFonts w:ascii="Times New Roman" w:hAnsi="Times New Roman"/>
                <w:sz w:val="16"/>
              </w:rPr>
              <w:t>0.48 - 0.65</w:t>
            </w:r>
          </w:p>
        </w:tc>
        <w:tc>
          <w:tcPr>
            <w:tcW w:type="dxa" w:w="3480"/>
          </w:tcPr>
          <w:p>
            <w:pPr>
              <w:jc w:val="center"/>
            </w:pPr>
            <w:r>
              <w:rPr>
                <w:rFonts w:ascii="Times New Roman" w:hAnsi="Times New Roman"/>
                <w:sz w:val="16"/>
              </w:rPr>
              <w:t>PASS</w:t>
            </w:r>
          </w:p>
        </w:tc>
      </w:tr>
      <w:tr>
        <w:tc>
          <w:tcPr>
            <w:tcW w:type="dxa" w:w="3480"/>
          </w:tcPr>
          <w:p>
            <w:pPr>
              <w:jc w:val="center"/>
            </w:pPr>
            <w:r>
              <w:rPr>
                <w:rFonts w:ascii="Times New Roman" w:hAnsi="Times New Roman"/>
                <w:sz w:val="16"/>
              </w:rPr>
              <w:t>Replay Attack (recorded)</w:t>
            </w:r>
          </w:p>
        </w:tc>
        <w:tc>
          <w:tcPr>
            <w:tcW w:type="dxa" w:w="3480"/>
          </w:tcPr>
          <w:p>
            <w:pPr>
              <w:jc w:val="center"/>
            </w:pPr>
            <w:r>
              <w:rPr>
                <w:rFonts w:ascii="Times New Roman" w:hAnsi="Times New Roman"/>
                <w:sz w:val="16"/>
              </w:rPr>
              <w:t>0.60 - 0.80*</w:t>
            </w:r>
          </w:p>
        </w:tc>
        <w:tc>
          <w:tcPr>
            <w:tcW w:type="dxa" w:w="3480"/>
          </w:tcPr>
          <w:p>
            <w:pPr>
              <w:jc w:val="center"/>
            </w:pPr>
            <w:r>
              <w:rPr>
                <w:rFonts w:ascii="Times New Roman" w:hAnsi="Times New Roman"/>
                <w:sz w:val="16"/>
              </w:rPr>
              <w:t>BLOCK (HFE)</w:t>
            </w:r>
          </w:p>
        </w:tc>
      </w:tr>
    </w:tbl>
    <w:p>
      <w:pPr>
        <w:ind w:firstLine="360"/>
        <w:jc w:val="both"/>
      </w:pPr>
      <w:r>
        <w:rPr>
          <w:rFonts w:ascii="Times New Roman" w:hAnsi="Times New Roman"/>
          <w:sz w:val="20"/>
        </w:rPr>
        <w:t>*Note: Replay attacks may achieve high similarity scores due to identical voice content, but are detected by the HFE liveness check (HFE_ratio &lt; 0.1), which identifies the attenuated high-frequency energy characteristic of speaker-replayed audio.</w:t>
      </w:r>
    </w:p>
    <w:p>
      <w:pPr>
        <w:jc w:val="left"/>
      </w:pPr>
      <w:r>
        <w:rPr>
          <w:rFonts w:ascii="Times New Roman" w:hAnsi="Times New Roman"/>
          <w:i/>
          <w:sz w:val="20"/>
        </w:rPr>
        <w:t>C. Fraud Detection Performance</w:t>
      </w:r>
    </w:p>
    <w:p>
      <w:pPr>
        <w:ind w:firstLine="360"/>
        <w:jc w:val="both"/>
      </w:pPr>
      <w:r>
        <w:rPr>
          <w:rFonts w:ascii="Times New Roman" w:hAnsi="Times New Roman"/>
          <w:sz w:val="20"/>
        </w:rPr>
        <w:t>The fraud detection ensemble was trained on 10,000 synthetically generated transaction records with configurable contamination rate (10% fraudulent). The Isolation Forest (100 estimators) operates as the unsupervised anomaly detector, while the Random Forest (200 estimators, max_depth=10) provides supervised fraud probability.</w:t>
      </w:r>
    </w:p>
    <w:p>
      <w:pPr>
        <w:jc w:val="center"/>
      </w:pPr>
      <w:r>
        <w:rPr>
          <w:rFonts w:ascii="Times New Roman" w:hAnsi="Times New Roman"/>
          <w:b/>
          <w:sz w:val="16"/>
        </w:rPr>
        <w:t>TABLE III</w:t>
      </w:r>
    </w:p>
    <w:p>
      <w:pPr>
        <w:jc w:val="center"/>
      </w:pPr>
      <w:r>
        <w:rPr>
          <w:rFonts w:ascii="Times New Roman" w:hAnsi="Times New Roman"/>
          <w:sz w:val="16"/>
        </w:rPr>
        <w:t>RISK-ADAPTIVE AUTH DECISION MATRIX</w:t>
      </w:r>
    </w:p>
    <w:tbl>
      <w:tblPr>
        <w:tblStyle w:val="TableGrid"/>
        <w:tblW w:type="auto" w:w="0"/>
        <w:tblLook w:firstColumn="1" w:firstRow="1" w:lastColumn="0" w:lastRow="0" w:noHBand="0" w:noVBand="1" w:val="04A0"/>
      </w:tblPr>
      <w:tblGrid>
        <w:gridCol w:w="2610"/>
        <w:gridCol w:w="2610"/>
        <w:gridCol w:w="2610"/>
        <w:gridCol w:w="2610"/>
      </w:tblGrid>
      <w:tr>
        <w:tc>
          <w:tcPr>
            <w:tcW w:type="dxa" w:w="2610"/>
          </w:tcPr>
          <w:p>
            <w:pPr>
              <w:jc w:val="center"/>
            </w:pPr>
            <w:r>
              <w:rPr>
                <w:rFonts w:ascii="Times New Roman" w:hAnsi="Times New Roman"/>
                <w:b/>
                <w:sz w:val="16"/>
              </w:rPr>
              <w:t>Risk Tier</w:t>
            </w:r>
          </w:p>
        </w:tc>
        <w:tc>
          <w:tcPr>
            <w:tcW w:type="dxa" w:w="2610"/>
          </w:tcPr>
          <w:p>
            <w:pPr>
              <w:jc w:val="center"/>
            </w:pPr>
            <w:r>
              <w:rPr>
                <w:rFonts w:ascii="Times New Roman" w:hAnsi="Times New Roman"/>
                <w:b/>
                <w:sz w:val="16"/>
              </w:rPr>
              <w:t>Score Range</w:t>
            </w:r>
          </w:p>
        </w:tc>
        <w:tc>
          <w:tcPr>
            <w:tcW w:type="dxa" w:w="2610"/>
          </w:tcPr>
          <w:p>
            <w:pPr>
              <w:jc w:val="center"/>
            </w:pPr>
            <w:r>
              <w:rPr>
                <w:rFonts w:ascii="Times New Roman" w:hAnsi="Times New Roman"/>
                <w:b/>
                <w:sz w:val="16"/>
              </w:rPr>
              <w:t>SV Status</w:t>
            </w:r>
          </w:p>
        </w:tc>
        <w:tc>
          <w:tcPr>
            <w:tcW w:type="dxa" w:w="2610"/>
          </w:tcPr>
          <w:p>
            <w:pPr>
              <w:jc w:val="center"/>
            </w:pPr>
            <w:r>
              <w:rPr>
                <w:rFonts w:ascii="Times New Roman" w:hAnsi="Times New Roman"/>
                <w:b/>
                <w:sz w:val="16"/>
              </w:rPr>
              <w:t>Auth Method</w:t>
            </w:r>
          </w:p>
        </w:tc>
      </w:tr>
      <w:tr>
        <w:tc>
          <w:tcPr>
            <w:tcW w:type="dxa" w:w="2610"/>
          </w:tcPr>
          <w:p>
            <w:pPr>
              <w:jc w:val="center"/>
            </w:pPr>
            <w:r>
              <w:rPr>
                <w:rFonts w:ascii="Times New Roman" w:hAnsi="Times New Roman"/>
                <w:sz w:val="16"/>
              </w:rPr>
              <w:t>Low</w:t>
            </w:r>
          </w:p>
        </w:tc>
        <w:tc>
          <w:tcPr>
            <w:tcW w:type="dxa" w:w="2610"/>
          </w:tcPr>
          <w:p>
            <w:pPr>
              <w:jc w:val="center"/>
            </w:pPr>
            <w:r>
              <w:rPr>
                <w:rFonts w:ascii="Times New Roman" w:hAnsi="Times New Roman"/>
                <w:sz w:val="16"/>
              </w:rPr>
              <w:t>≤ 0.30</w:t>
            </w:r>
          </w:p>
        </w:tc>
        <w:tc>
          <w:tcPr>
            <w:tcW w:type="dxa" w:w="2610"/>
          </w:tcPr>
          <w:p>
            <w:pPr>
              <w:jc w:val="center"/>
            </w:pPr>
            <w:r>
              <w:rPr>
                <w:rFonts w:ascii="Times New Roman" w:hAnsi="Times New Roman"/>
                <w:sz w:val="16"/>
              </w:rPr>
              <w:t>Verified (≥ 0.45)</w:t>
            </w:r>
          </w:p>
        </w:tc>
        <w:tc>
          <w:tcPr>
            <w:tcW w:type="dxa" w:w="2610"/>
          </w:tcPr>
          <w:p>
            <w:pPr>
              <w:jc w:val="center"/>
            </w:pPr>
            <w:r>
              <w:rPr>
                <w:rFonts w:ascii="Times New Roman" w:hAnsi="Times New Roman"/>
                <w:sz w:val="16"/>
              </w:rPr>
              <w:t>PIN Only</w:t>
            </w:r>
          </w:p>
        </w:tc>
      </w:tr>
      <w:tr>
        <w:tc>
          <w:tcPr>
            <w:tcW w:type="dxa" w:w="2610"/>
          </w:tcPr>
          <w:p>
            <w:pPr>
              <w:jc w:val="center"/>
            </w:pPr>
            <w:r>
              <w:rPr>
                <w:rFonts w:ascii="Times New Roman" w:hAnsi="Times New Roman"/>
                <w:sz w:val="16"/>
              </w:rPr>
              <w:t>Medium</w:t>
            </w:r>
          </w:p>
        </w:tc>
        <w:tc>
          <w:tcPr>
            <w:tcW w:type="dxa" w:w="2610"/>
          </w:tcPr>
          <w:p>
            <w:pPr>
              <w:jc w:val="center"/>
            </w:pPr>
            <w:r>
              <w:rPr>
                <w:rFonts w:ascii="Times New Roman" w:hAnsi="Times New Roman"/>
                <w:sz w:val="16"/>
              </w:rPr>
              <w:t>0.30 - 0.70</w:t>
            </w:r>
          </w:p>
        </w:tc>
        <w:tc>
          <w:tcPr>
            <w:tcW w:type="dxa" w:w="2610"/>
          </w:tcPr>
          <w:p>
            <w:pPr>
              <w:jc w:val="center"/>
            </w:pPr>
            <w:r>
              <w:rPr>
                <w:rFonts w:ascii="Times New Roman" w:hAnsi="Times New Roman"/>
                <w:sz w:val="16"/>
              </w:rPr>
              <w:t>Borderline (0.35-0.45)</w:t>
            </w:r>
          </w:p>
        </w:tc>
        <w:tc>
          <w:tcPr>
            <w:tcW w:type="dxa" w:w="2610"/>
          </w:tcPr>
          <w:p>
            <w:pPr>
              <w:jc w:val="center"/>
            </w:pPr>
            <w:r>
              <w:rPr>
                <w:rFonts w:ascii="Times New Roman" w:hAnsi="Times New Roman"/>
                <w:sz w:val="16"/>
              </w:rPr>
              <w:t>Step-Up (PIN + Voice)</w:t>
            </w:r>
          </w:p>
        </w:tc>
      </w:tr>
      <w:tr>
        <w:tc>
          <w:tcPr>
            <w:tcW w:type="dxa" w:w="2610"/>
          </w:tcPr>
          <w:p>
            <w:pPr>
              <w:jc w:val="center"/>
            </w:pPr>
            <w:r>
              <w:rPr>
                <w:rFonts w:ascii="Times New Roman" w:hAnsi="Times New Roman"/>
                <w:sz w:val="16"/>
              </w:rPr>
              <w:t>High</w:t>
            </w:r>
          </w:p>
        </w:tc>
        <w:tc>
          <w:tcPr>
            <w:tcW w:type="dxa" w:w="2610"/>
          </w:tcPr>
          <w:p>
            <w:pPr>
              <w:jc w:val="center"/>
            </w:pPr>
            <w:r>
              <w:rPr>
                <w:rFonts w:ascii="Times New Roman" w:hAnsi="Times New Roman"/>
                <w:sz w:val="16"/>
              </w:rPr>
              <w:t>&gt; 0.70</w:t>
            </w:r>
          </w:p>
        </w:tc>
        <w:tc>
          <w:tcPr>
            <w:tcW w:type="dxa" w:w="2610"/>
          </w:tcPr>
          <w:p>
            <w:pPr>
              <w:jc w:val="center"/>
            </w:pPr>
            <w:r>
              <w:rPr>
                <w:rFonts w:ascii="Times New Roman" w:hAnsi="Times New Roman"/>
                <w:sz w:val="16"/>
              </w:rPr>
              <w:t>Mismatch (&lt; 0.35)</w:t>
            </w:r>
          </w:p>
        </w:tc>
        <w:tc>
          <w:tcPr>
            <w:tcW w:type="dxa" w:w="2610"/>
          </w:tcPr>
          <w:p>
            <w:pPr>
              <w:jc w:val="center"/>
            </w:pPr>
            <w:r>
              <w:rPr>
                <w:rFonts w:ascii="Times New Roman" w:hAnsi="Times New Roman"/>
                <w:sz w:val="16"/>
              </w:rPr>
              <w:t>Block + Alert</w:t>
            </w:r>
          </w:p>
        </w:tc>
      </w:tr>
    </w:tbl>
    <w:p>
      <w:pPr>
        <w:jc w:val="left"/>
      </w:pPr>
      <w:r>
        <w:rPr>
          <w:rFonts w:ascii="Times New Roman" w:hAnsi="Times New Roman"/>
          <w:i/>
          <w:sz w:val="20"/>
        </w:rPr>
        <w:t>D. System Performance</w:t>
      </w:r>
    </w:p>
    <w:p>
      <w:pPr>
        <w:ind w:firstLine="360"/>
        <w:jc w:val="both"/>
      </w:pPr>
      <w:r>
        <w:rPr>
          <w:rFonts w:ascii="Times New Roman" w:hAnsi="Times New Roman"/>
          <w:sz w:val="20"/>
        </w:rPr>
        <w:t>End-to-end pipeline performance was measured using 100 simulated text-based transaction requests through the FastAPI backend. The system processes intent classification and fraud detection in under 200ms on a CPU-only machine (Intel Core i5, 8GB RAM). The STT and speaker verification modules add approximately 2-3 seconds when processing audio input, dominated by Whisper inference time.</w:t>
      </w:r>
    </w:p>
    <w:p>
      <w:pPr>
        <w:jc w:val="center"/>
      </w:pPr>
      <w:r>
        <w:rPr>
          <w:rFonts w:ascii="Times New Roman" w:hAnsi="Times New Roman"/>
          <w:b/>
          <w:sz w:val="16"/>
        </w:rPr>
        <w:t>TABLE IV</w:t>
      </w:r>
    </w:p>
    <w:p>
      <w:pPr>
        <w:jc w:val="center"/>
      </w:pPr>
      <w:r>
        <w:rPr>
          <w:rFonts w:ascii="Times New Roman" w:hAnsi="Times New Roman"/>
          <w:sz w:val="16"/>
        </w:rPr>
        <w:t>PIPELINE LATENCY BREAKDOWN</w:t>
      </w:r>
    </w:p>
    <w:tbl>
      <w:tblPr>
        <w:tblStyle w:val="TableGrid"/>
        <w:tblW w:type="auto" w:w="0"/>
        <w:tblLook w:firstColumn="1" w:firstRow="1" w:lastColumn="0" w:lastRow="0" w:noHBand="0" w:noVBand="1" w:val="04A0"/>
      </w:tblPr>
      <w:tblGrid>
        <w:gridCol w:w="5220"/>
        <w:gridCol w:w="5220"/>
      </w:tblGrid>
      <w:tr>
        <w:tc>
          <w:tcPr>
            <w:tcW w:type="dxa" w:w="5220"/>
          </w:tcPr>
          <w:p>
            <w:pPr>
              <w:jc w:val="center"/>
            </w:pPr>
            <w:r>
              <w:rPr>
                <w:rFonts w:ascii="Times New Roman" w:hAnsi="Times New Roman"/>
                <w:b/>
                <w:sz w:val="16"/>
              </w:rPr>
              <w:t>Pipeline Stage</w:t>
            </w:r>
          </w:p>
        </w:tc>
        <w:tc>
          <w:tcPr>
            <w:tcW w:type="dxa" w:w="5220"/>
          </w:tcPr>
          <w:p>
            <w:pPr>
              <w:jc w:val="center"/>
            </w:pPr>
            <w:r>
              <w:rPr>
                <w:rFonts w:ascii="Times New Roman" w:hAnsi="Times New Roman"/>
                <w:b/>
                <w:sz w:val="16"/>
              </w:rPr>
              <w:t>Avg. Latency (ms)</w:t>
            </w:r>
          </w:p>
        </w:tc>
      </w:tr>
      <w:tr>
        <w:tc>
          <w:tcPr>
            <w:tcW w:type="dxa" w:w="5220"/>
          </w:tcPr>
          <w:p>
            <w:pPr>
              <w:jc w:val="center"/>
            </w:pPr>
            <w:r>
              <w:rPr>
                <w:rFonts w:ascii="Times New Roman" w:hAnsi="Times New Roman"/>
                <w:sz w:val="16"/>
              </w:rPr>
              <w:t>STT (Whisper medium)</w:t>
            </w:r>
          </w:p>
        </w:tc>
        <w:tc>
          <w:tcPr>
            <w:tcW w:type="dxa" w:w="5220"/>
          </w:tcPr>
          <w:p>
            <w:pPr>
              <w:jc w:val="center"/>
            </w:pPr>
            <w:r>
              <w:rPr>
                <w:rFonts w:ascii="Times New Roman" w:hAnsi="Times New Roman"/>
                <w:sz w:val="16"/>
              </w:rPr>
              <w:t>~2500</w:t>
            </w:r>
          </w:p>
        </w:tc>
      </w:tr>
      <w:tr>
        <w:tc>
          <w:tcPr>
            <w:tcW w:type="dxa" w:w="5220"/>
          </w:tcPr>
          <w:p>
            <w:pPr>
              <w:jc w:val="center"/>
            </w:pPr>
            <w:r>
              <w:rPr>
                <w:rFonts w:ascii="Times New Roman" w:hAnsi="Times New Roman"/>
                <w:sz w:val="16"/>
              </w:rPr>
              <w:t>Speaker Verification (ECAPA-TDNN)</w:t>
            </w:r>
          </w:p>
        </w:tc>
        <w:tc>
          <w:tcPr>
            <w:tcW w:type="dxa" w:w="5220"/>
          </w:tcPr>
          <w:p>
            <w:pPr>
              <w:jc w:val="center"/>
            </w:pPr>
            <w:r>
              <w:rPr>
                <w:rFonts w:ascii="Times New Roman" w:hAnsi="Times New Roman"/>
                <w:sz w:val="16"/>
              </w:rPr>
              <w:t>~450</w:t>
            </w:r>
          </w:p>
        </w:tc>
      </w:tr>
      <w:tr>
        <w:tc>
          <w:tcPr>
            <w:tcW w:type="dxa" w:w="5220"/>
          </w:tcPr>
          <w:p>
            <w:pPr>
              <w:jc w:val="center"/>
            </w:pPr>
            <w:r>
              <w:rPr>
                <w:rFonts w:ascii="Times New Roman" w:hAnsi="Times New Roman"/>
                <w:sz w:val="16"/>
              </w:rPr>
              <w:t>Intent Classification (BiLSTM)</w:t>
            </w:r>
          </w:p>
        </w:tc>
        <w:tc>
          <w:tcPr>
            <w:tcW w:type="dxa" w:w="5220"/>
          </w:tcPr>
          <w:p>
            <w:pPr>
              <w:jc w:val="center"/>
            </w:pPr>
            <w:r>
              <w:rPr>
                <w:rFonts w:ascii="Times New Roman" w:hAnsi="Times New Roman"/>
                <w:sz w:val="16"/>
              </w:rPr>
              <w:t>~15</w:t>
            </w:r>
          </w:p>
        </w:tc>
      </w:tr>
      <w:tr>
        <w:tc>
          <w:tcPr>
            <w:tcW w:type="dxa" w:w="5220"/>
          </w:tcPr>
          <w:p>
            <w:pPr>
              <w:jc w:val="center"/>
            </w:pPr>
            <w:r>
              <w:rPr>
                <w:rFonts w:ascii="Times New Roman" w:hAnsi="Times New Roman"/>
                <w:sz w:val="16"/>
              </w:rPr>
              <w:t>Fraud Detection (IF + RF)</w:t>
            </w:r>
          </w:p>
        </w:tc>
        <w:tc>
          <w:tcPr>
            <w:tcW w:type="dxa" w:w="5220"/>
          </w:tcPr>
          <w:p>
            <w:pPr>
              <w:jc w:val="center"/>
            </w:pPr>
            <w:r>
              <w:rPr>
                <w:rFonts w:ascii="Times New Roman" w:hAnsi="Times New Roman"/>
                <w:sz w:val="16"/>
              </w:rPr>
              <w:t>~8</w:t>
            </w:r>
          </w:p>
        </w:tc>
      </w:tr>
      <w:tr>
        <w:tc>
          <w:tcPr>
            <w:tcW w:type="dxa" w:w="5220"/>
          </w:tcPr>
          <w:p>
            <w:pPr>
              <w:jc w:val="center"/>
            </w:pPr>
            <w:r>
              <w:rPr>
                <w:rFonts w:ascii="Times New Roman" w:hAnsi="Times New Roman"/>
                <w:sz w:val="16"/>
              </w:rPr>
              <w:t>Auth Logic + DB</w:t>
            </w:r>
          </w:p>
        </w:tc>
        <w:tc>
          <w:tcPr>
            <w:tcW w:type="dxa" w:w="5220"/>
          </w:tcPr>
          <w:p>
            <w:pPr>
              <w:jc w:val="center"/>
            </w:pPr>
            <w:r>
              <w:rPr>
                <w:rFonts w:ascii="Times New Roman" w:hAnsi="Times New Roman"/>
                <w:sz w:val="16"/>
              </w:rPr>
              <w:t>~5</w:t>
            </w:r>
          </w:p>
        </w:tc>
      </w:tr>
    </w:tbl>
    <w:p>
      <w:pPr>
        <w:jc w:val="center"/>
      </w:pPr>
      <w:r>
        <w:rPr>
          <w:rFonts w:ascii="Times New Roman" w:hAnsi="Times New Roman"/>
          <w:b/>
          <w:sz w:val="20"/>
        </w:rPr>
        <w:t>V. DISCUSSION</w:t>
      </w:r>
    </w:p>
    <w:p>
      <w:pPr>
        <w:ind w:firstLine="360"/>
        <w:jc w:val="both"/>
      </w:pPr>
      <w:r>
        <w:rPr>
          <w:rFonts w:ascii="Times New Roman" w:hAnsi="Times New Roman"/>
          <w:sz w:val="20"/>
        </w:rPr>
        <w:t>The experimental results validate the feasibility of a multi-modal, risk-adaptive approach to voice-based financial transactions. Several key observations emerge from the evaluation:</w:t>
      </w:r>
    </w:p>
    <w:p>
      <w:pPr>
        <w:ind w:firstLine="360"/>
        <w:jc w:val="both"/>
      </w:pPr>
      <w:r>
        <w:rPr>
          <w:rFonts w:ascii="Times New Roman" w:hAnsi="Times New Roman"/>
          <w:sz w:val="20"/>
        </w:rPr>
        <w:t>First, the intent classifier's near-perfect F1-score (0.995) demonstrates that domain-specific LSTM models, when trained with sufficient augmented data, can match or exceed the performance of larger transformer-based models for constrained vocabulary tasks. The 2,000-sample synthetic dataset with Whisper-style transcription artifacts proved effective in bridging the domain gap between training data and real-world ASR output.</w:t>
      </w:r>
    </w:p>
    <w:p>
      <w:pPr>
        <w:ind w:firstLine="360"/>
        <w:jc w:val="both"/>
      </w:pPr>
      <w:r>
        <w:rPr>
          <w:rFonts w:ascii="Times New Roman" w:hAnsi="Times New Roman"/>
          <w:sz w:val="20"/>
        </w:rPr>
        <w:t>Second, the tiered speaker verification threshold (0.35/0.45) provides a nuanced security posture that balances usability with protection. Rather than a binary accept/reject decision, the system introduces a gradient of trust that allows borderline cases to be resolved through step-up authentication — a paradigm more aligned with real-world banking risk management practices.</w:t>
      </w:r>
    </w:p>
    <w:p>
      <w:pPr>
        <w:ind w:firstLine="360"/>
        <w:jc w:val="both"/>
      </w:pPr>
      <w:r>
        <w:rPr>
          <w:rFonts w:ascii="Times New Roman" w:hAnsi="Times New Roman"/>
          <w:sz w:val="20"/>
        </w:rPr>
        <w:t>Third, the adaptive learning component addresses a critical limitation of static fraud detection models: concept drift. As users' financial behavior evolves, a fixed baseline produces increasing false positives. The sliding-window profile update mechanism ensures that the system adapts to legitimate behavioral changes while maintaining sensitivity to truly anomalous patterns.</w:t>
      </w:r>
    </w:p>
    <w:p>
      <w:pPr>
        <w:ind w:firstLine="360"/>
        <w:jc w:val="both"/>
      </w:pPr>
      <w:r>
        <w:rPr>
          <w:rFonts w:ascii="Times New Roman" w:hAnsi="Times New Roman"/>
          <w:sz w:val="20"/>
        </w:rPr>
        <w:t>Limitations of the current system include: (a) the synthetic nature of the training data, which may not fully capture the complexity of real-world financial speech; (b) the computational overhead of the Whisper medium model on CPU, which may limit real-time performance on resource-constrained devices; and (c) the HFE-based liveness detection, which represents a basic anti-spoofing measure compared to dedicated countermeasure systems.</w:t>
      </w:r>
    </w:p>
    <w:p>
      <w:pPr>
        <w:jc w:val="center"/>
      </w:pPr>
      <w:r>
        <w:rPr>
          <w:rFonts w:ascii="Times New Roman" w:hAnsi="Times New Roman"/>
          <w:b/>
          <w:sz w:val="20"/>
        </w:rPr>
        <w:t>VI. CONCLUSION</w:t>
      </w:r>
    </w:p>
    <w:p>
      <w:pPr>
        <w:ind w:firstLine="360"/>
        <w:jc w:val="both"/>
      </w:pPr>
      <w:r>
        <w:rPr>
          <w:rFonts w:ascii="Times New Roman" w:hAnsi="Times New Roman"/>
          <w:sz w:val="20"/>
        </w:rPr>
        <w:t>This paper presented a Risk-Adaptive Voice-Based Financial Assistant that integrates speech recognition, speaker verification, intent classification, and behavioral fraud detection into a unified multi-modal pipeline. The three-tier authentication protocol dynamically adjusts security requirements based on composite risk scores, providing a practical balance between user experience and security. The system achieved a weighted F1-score of 0.995 for intent classification, effective speaker discrimination with a tiered verification policy, and sub-200ms processing for the ML pipeline on CPU.</w:t>
      </w:r>
    </w:p>
    <w:p>
      <w:pPr>
        <w:ind w:firstLine="360"/>
        <w:jc w:val="both"/>
      </w:pPr>
      <w:r>
        <w:rPr>
          <w:rFonts w:ascii="Times New Roman" w:hAnsi="Times New Roman"/>
          <w:sz w:val="20"/>
        </w:rPr>
        <w:t>Future work includes: (a) replacement of the LSTM intent classifier with a fine-tuned FinBERT model for improved handling of ambiguous commands; (b) integration of a dedicated anti-spoofing model (e.g., AASIST) for robust liveness detection; (c) deployment of the system on edge devices with model quantization; and (d) evaluation with a real-world user study to validate the risk-adaptive authentication protocol in production conditions.</w:t>
      </w:r>
    </w:p>
    <w:p>
      <w:pPr>
        <w:jc w:val="center"/>
      </w:pPr>
      <w:r>
        <w:rPr>
          <w:rFonts w:ascii="Times New Roman" w:hAnsi="Times New Roman"/>
          <w:b/>
          <w:sz w:val="20"/>
        </w:rPr>
        <w:t>ACKNOWLEDGMENT</w:t>
      </w:r>
    </w:p>
    <w:p>
      <w:pPr>
        <w:ind w:firstLine="360"/>
        <w:jc w:val="both"/>
      </w:pPr>
      <w:r>
        <w:rPr>
          <w:rFonts w:ascii="Times New Roman" w:hAnsi="Times New Roman"/>
          <w:sz w:val="20"/>
        </w:rPr>
        <w:t>The authors acknowledge the open-source contributions of the SpeechBrain, OpenAI Whisper, and scikit-learn communities, whose pre-trained models and tools made this work possible.</w:t>
      </w:r>
    </w:p>
    <w:p>
      <w:pPr>
        <w:jc w:val="center"/>
      </w:pPr>
      <w:r>
        <w:rPr>
          <w:rFonts w:ascii="Times New Roman" w:hAnsi="Times New Roman"/>
          <w:b/>
          <w:sz w:val="20"/>
        </w:rPr>
        <w:t>REFERENCES</w:t>
      </w:r>
    </w:p>
    <w:p>
      <w:pPr>
        <w:jc w:val="both"/>
      </w:pPr>
      <w:r>
        <w:rPr>
          <w:rFonts w:ascii="Times New Roman" w:hAnsi="Times New Roman"/>
          <w:sz w:val="16"/>
        </w:rPr>
        <w:t>[1] B. Desplanques, J. Thienpondt, and K. Demuynck, "ECAPA-TDNN: Emphasized Channel Attention, Propagation and Aggregation in TDNN Based Speaker Verification," in Proc. Interspeech, 2020, pp. 3830-3834.</w:t>
      </w:r>
    </w:p>
    <w:p>
      <w:pPr>
        <w:jc w:val="both"/>
      </w:pPr>
      <w:r>
        <w:rPr>
          <w:rFonts w:ascii="Times New Roman" w:hAnsi="Times New Roman"/>
          <w:sz w:val="16"/>
        </w:rPr>
        <w:t>[2] A. Radford, J. W. Kim, T. Xu, G. Brockman, C. McLeavey, and I. Sutskever, "Robust Speech Recognition via Large-Scale Weak Supervision," in Proc. International Conference on Machine Learning (ICML), 2023, pp. 28492-28518.</w:t>
      </w:r>
    </w:p>
    <w:p>
      <w:pPr>
        <w:jc w:val="both"/>
      </w:pPr>
      <w:r>
        <w:rPr>
          <w:rFonts w:ascii="Times New Roman" w:hAnsi="Times New Roman"/>
          <w:sz w:val="16"/>
        </w:rPr>
        <w:t>[3] F. T. Liu, K. M. Ting, and Z.-H. Zhou, "Isolation Forest," in Proc. IEEE International Conference on Data Mining (ICDM), 2008, pp. 413-422.</w:t>
      </w:r>
    </w:p>
    <w:p>
      <w:pPr>
        <w:jc w:val="both"/>
      </w:pPr>
      <w:r>
        <w:rPr>
          <w:rFonts w:ascii="Times New Roman" w:hAnsi="Times New Roman"/>
          <w:sz w:val="16"/>
        </w:rPr>
        <w:t>[4] T. Chen, C. Guestrin, "XGBoost: A Scalable Tree Boosting System," in Proc. ACM SIGKDD International Conference on Knowledge Discovery and Data Mining, 2016, pp. 785-794.</w:t>
      </w:r>
    </w:p>
    <w:p>
      <w:pPr>
        <w:jc w:val="both"/>
      </w:pPr>
      <w:r>
        <w:rPr>
          <w:rFonts w:ascii="Times New Roman" w:hAnsi="Times New Roman"/>
          <w:sz w:val="16"/>
        </w:rPr>
        <w:t>[5] Y. Kim, "Convolutional Neural Networks for Sentence Classification," in Proc. Conference on Empirical Methods in Natural Language Processing (EMNLP), 2014, pp. 1746-1751.</w:t>
      </w:r>
    </w:p>
    <w:sectPr w:rsidR="00FC693F" w:rsidRPr="0006063C" w:rsidSect="00034616">
      <w:pgSz w:w="12240" w:h="15840"/>
      <w:pgMar w:top="1080" w:right="900" w:bottom="14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