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64" w:lineRule="auto" w:after="100"/>
        <w:jc w:val="center"/>
      </w:pPr>
      <w:r>
        <w:rPr>
          <w:b/>
          <w:sz w:val="28"/>
        </w:rPr>
        <w:t>VISVESVARAYA TECHNOLOGICAL UNIVERSITY</w:t>
      </w:r>
    </w:p>
    <w:p>
      <w:pPr>
        <w:spacing w:line="264" w:lineRule="auto" w:after="100"/>
        <w:jc w:val="center"/>
      </w:pPr>
      <w:r>
        <w:rPr>
          <w:b w:val="0"/>
          <w:sz w:val="24"/>
        </w:rPr>
        <w:t>Jnana Sangama, Machhe, Belagavi – 590018, Karnataka</w:t>
      </w:r>
    </w:p>
    <w:p>
      <w:pPr>
        <w:spacing w:after="60"/>
        <w:jc w:val="center"/>
      </w:pPr>
      <w:r>
        <w:drawing>
          <wp:inline xmlns:a="http://schemas.openxmlformats.org/drawingml/2006/main" xmlns:pic="http://schemas.openxmlformats.org/drawingml/2006/picture">
            <wp:extent cx="692281" cy="731520"/>
            <wp:docPr id="1" name="Picture 1"/>
            <wp:cNvGraphicFramePr>
              <a:graphicFrameLocks noChangeAspect="1"/>
            </wp:cNvGraphicFramePr>
            <a:graphic>
              <a:graphicData uri="http://schemas.openxmlformats.org/drawingml/2006/picture">
                <pic:pic>
                  <pic:nvPicPr>
                    <pic:cNvPr id="0" name="logo_0.png"/>
                    <pic:cNvPicPr/>
                  </pic:nvPicPr>
                  <pic:blipFill>
                    <a:blip r:embed="rId11"/>
                    <a:stretch>
                      <a:fillRect/>
                    </a:stretch>
                  </pic:blipFill>
                  <pic:spPr>
                    <a:xfrm>
                      <a:off x="0" y="0"/>
                      <a:ext cx="692281" cy="731520"/>
                    </a:xfrm>
                    <a:prstGeom prst="rect"/>
                  </pic:spPr>
                </pic:pic>
              </a:graphicData>
            </a:graphic>
          </wp:inline>
        </w:drawing>
      </w:r>
    </w:p>
    <w:p>
      <w:pPr>
        <w:spacing w:line="264" w:lineRule="auto" w:after="100"/>
        <w:jc w:val="center"/>
      </w:pPr>
      <w:r>
        <w:rPr>
          <w:b/>
          <w:sz w:val="24"/>
        </w:rPr>
        <w:t>2022 SCHEME – BCS714D</w:t>
      </w:r>
    </w:p>
    <w:p>
      <w:pPr>
        <w:spacing w:line="264" w:lineRule="auto" w:after="100"/>
        <w:jc w:val="center"/>
      </w:pPr>
      <w:r>
        <w:rPr>
          <w:b/>
          <w:sz w:val="28"/>
        </w:rPr>
        <w:t>ASSIGNMENT 1 REPORT</w:t>
      </w:r>
    </w:p>
    <w:p>
      <w:pPr>
        <w:spacing w:line="264" w:lineRule="auto" w:after="100"/>
        <w:jc w:val="center"/>
      </w:pPr>
      <w:r>
        <w:rPr>
          <w:b w:val="0"/>
          <w:sz w:val="24"/>
        </w:rPr>
        <w:t>ON</w:t>
      </w:r>
    </w:p>
    <w:p>
      <w:pPr>
        <w:spacing w:line="264" w:lineRule="auto" w:after="180"/>
        <w:jc w:val="center"/>
      </w:pPr>
      <w:r>
        <w:rPr>
          <w:b/>
          <w:sz w:val="28"/>
        </w:rPr>
        <w:t>Distributed Food and Nutrient Analytics Using MongoDB, Hadoop MapReduce, Pig and Hive</w:t>
      </w:r>
    </w:p>
    <w:p>
      <w:pPr>
        <w:spacing w:line="264" w:lineRule="auto" w:after="160"/>
        <w:jc w:val="center"/>
      </w:pPr>
      <w:r>
        <w:rPr>
          <w:b w:val="0"/>
          <w:sz w:val="24"/>
        </w:rPr>
        <w:t>Track B – Part 1: Three Core Themes</w:t>
      </w:r>
    </w:p>
    <w:p>
      <w:pPr>
        <w:spacing w:line="264" w:lineRule="auto" w:after="200"/>
        <w:jc w:val="center"/>
      </w:pPr>
      <w:r>
        <w:rPr>
          <w:b w:val="0"/>
          <w:sz w:val="24"/>
        </w:rPr>
        <w:t>Submitted as part of the coursework for Big Data Analytics</w:t>
      </w:r>
    </w:p>
    <w:tbl>
      <w:tblPr>
        <w:tblStyle w:val="TableGrid"/>
        <w:tblW w:type="auto" w:w="0"/>
        <w:tblLayout w:type="fixed"/>
        <w:tblLook w:firstColumn="1" w:firstRow="1" w:lastColumn="0" w:lastRow="0" w:noHBand="0" w:noVBand="1" w:val="04A0"/>
      </w:tblPr>
      <w:tblGrid>
        <w:gridCol w:w="936"/>
        <w:gridCol w:w="2808"/>
        <w:gridCol w:w="1944"/>
        <w:gridCol w:w="1224"/>
        <w:gridCol w:w="2088"/>
      </w:tblGrid>
      <w:tr>
        <w:trPr>
          <w:cantSplit/>
        </w:trPr>
        <w:tc>
          <w:tcPr>
            <w:tcW w:type="dxa" w:w="936"/>
            <w:shd w:fill="EAF2EF"/>
          </w:tcPr>
          <w:p>
            <w:pPr>
              <w:spacing w:line="252" w:lineRule="auto" w:after="80" w:before="80"/>
              <w:jc w:val="left"/>
            </w:pPr>
            <w:r>
              <w:rPr>
                <w:b/>
                <w:sz w:val="24"/>
              </w:rPr>
              <w:t>Sl. No.</w:t>
            </w:r>
          </w:p>
        </w:tc>
        <w:tc>
          <w:tcPr>
            <w:tcW w:type="dxa" w:w="2808"/>
            <w:shd w:fill="EAF2EF"/>
          </w:tcPr>
          <w:p>
            <w:pPr>
              <w:spacing w:line="252" w:lineRule="auto" w:after="80" w:before="80"/>
              <w:jc w:val="left"/>
            </w:pPr>
            <w:r>
              <w:rPr>
                <w:b/>
                <w:sz w:val="24"/>
              </w:rPr>
              <w:t>Student name</w:t>
            </w:r>
          </w:p>
        </w:tc>
        <w:tc>
          <w:tcPr>
            <w:tcW w:type="dxa" w:w="1944"/>
            <w:shd w:fill="EAF2EF"/>
          </w:tcPr>
          <w:p>
            <w:pPr>
              <w:spacing w:line="252" w:lineRule="auto" w:after="80" w:before="80"/>
              <w:jc w:val="left"/>
            </w:pPr>
            <w:r>
              <w:rPr>
                <w:b/>
                <w:sz w:val="24"/>
              </w:rPr>
              <w:t>USN</w:t>
            </w:r>
          </w:p>
        </w:tc>
        <w:tc>
          <w:tcPr>
            <w:tcW w:type="dxa" w:w="1224"/>
            <w:shd w:fill="EAF2EF"/>
          </w:tcPr>
          <w:p>
            <w:pPr>
              <w:spacing w:line="252" w:lineRule="auto" w:after="80" w:before="80"/>
              <w:jc w:val="left"/>
            </w:pPr>
            <w:r>
              <w:rPr>
                <w:b/>
                <w:sz w:val="24"/>
              </w:rPr>
              <w:t>Marks</w:t>
            </w:r>
          </w:p>
        </w:tc>
        <w:tc>
          <w:tcPr>
            <w:tcW w:type="dxa" w:w="2088"/>
            <w:shd w:fill="EAF2EF"/>
          </w:tcPr>
          <w:p>
            <w:pPr>
              <w:spacing w:line="252" w:lineRule="auto" w:after="80" w:before="80"/>
              <w:jc w:val="left"/>
            </w:pPr>
            <w:r>
              <w:rPr>
                <w:b/>
                <w:sz w:val="24"/>
              </w:rPr>
              <w:t>Signature</w:t>
            </w:r>
          </w:p>
        </w:tc>
      </w:tr>
      <w:tr>
        <w:trPr>
          <w:cantSplit/>
        </w:trPr>
        <w:tc>
          <w:tcPr>
            <w:tcW w:type="dxa" w:w="936"/>
          </w:tcPr>
          <w:p>
            <w:pPr>
              <w:spacing w:line="252" w:lineRule="auto" w:after="80" w:before="80"/>
              <w:jc w:val="left"/>
            </w:pPr>
            <w:r>
              <w:rPr>
                <w:b w:val="0"/>
                <w:sz w:val="24"/>
              </w:rPr>
              <w:t>1</w:t>
            </w:r>
          </w:p>
        </w:tc>
        <w:tc>
          <w:tcPr>
            <w:tcW w:type="dxa" w:w="2808"/>
          </w:tcPr>
          <w:p>
            <w:pPr>
              <w:spacing w:line="252" w:lineRule="auto" w:after="80" w:before="80"/>
              <w:jc w:val="left"/>
            </w:pPr>
            <w:r>
              <w:rPr>
                <w:b w:val="0"/>
                <w:sz w:val="24"/>
              </w:rPr>
              <w:t>Abhishek R</w:t>
            </w:r>
          </w:p>
        </w:tc>
        <w:tc>
          <w:tcPr>
            <w:tcW w:type="dxa" w:w="1944"/>
          </w:tcPr>
          <w:p>
            <w:pPr>
              <w:spacing w:line="252" w:lineRule="auto" w:after="80" w:before="80"/>
              <w:jc w:val="left"/>
            </w:pPr>
            <w:r>
              <w:rPr>
                <w:b w:val="0"/>
                <w:sz w:val="24"/>
              </w:rPr>
              <w:t>1JS23CS004</w:t>
            </w:r>
          </w:p>
        </w:tc>
        <w:tc>
          <w:tcPr>
            <w:tcW w:type="dxa" w:w="1224"/>
          </w:tcPr>
          <w:p>
            <w:pPr>
              <w:spacing w:line="252" w:lineRule="auto" w:after="80" w:before="80"/>
              <w:jc w:val="left"/>
            </w:pPr>
            <w:r>
              <w:rPr>
                <w:b w:val="0"/>
                <w:sz w:val="24"/>
              </w:rPr>
            </w:r>
          </w:p>
        </w:tc>
        <w:tc>
          <w:tcPr>
            <w:tcW w:type="dxa" w:w="2088"/>
          </w:tcPr>
          <w:p>
            <w:pPr>
              <w:spacing w:line="252" w:lineRule="auto" w:after="80" w:before="80"/>
              <w:jc w:val="left"/>
            </w:pPr>
            <w:r>
              <w:rPr>
                <w:b w:val="0"/>
                <w:sz w:val="24"/>
              </w:rPr>
            </w:r>
          </w:p>
        </w:tc>
      </w:tr>
      <w:tr>
        <w:trPr>
          <w:cantSplit/>
        </w:trPr>
        <w:tc>
          <w:tcPr>
            <w:tcW w:type="dxa" w:w="936"/>
          </w:tcPr>
          <w:p>
            <w:pPr>
              <w:spacing w:line="252" w:lineRule="auto" w:after="80" w:before="80"/>
              <w:jc w:val="left"/>
            </w:pPr>
            <w:r>
              <w:rPr>
                <w:b w:val="0"/>
                <w:sz w:val="24"/>
              </w:rPr>
              <w:t>2</w:t>
            </w:r>
          </w:p>
        </w:tc>
        <w:tc>
          <w:tcPr>
            <w:tcW w:type="dxa" w:w="2808"/>
          </w:tcPr>
          <w:p>
            <w:pPr>
              <w:spacing w:line="252" w:lineRule="auto" w:after="80" w:before="80"/>
              <w:jc w:val="left"/>
            </w:pPr>
            <w:r>
              <w:rPr>
                <w:b w:val="0"/>
                <w:sz w:val="24"/>
              </w:rPr>
              <w:t>Adithya V</w:t>
            </w:r>
          </w:p>
        </w:tc>
        <w:tc>
          <w:tcPr>
            <w:tcW w:type="dxa" w:w="1944"/>
          </w:tcPr>
          <w:p>
            <w:pPr>
              <w:spacing w:line="252" w:lineRule="auto" w:after="80" w:before="80"/>
              <w:jc w:val="left"/>
            </w:pPr>
            <w:r>
              <w:rPr>
                <w:b w:val="0"/>
                <w:sz w:val="24"/>
              </w:rPr>
              <w:t>1JS23CS005</w:t>
            </w:r>
          </w:p>
        </w:tc>
        <w:tc>
          <w:tcPr>
            <w:tcW w:type="dxa" w:w="1224"/>
          </w:tcPr>
          <w:p>
            <w:pPr>
              <w:spacing w:line="252" w:lineRule="auto" w:after="80" w:before="80"/>
              <w:jc w:val="left"/>
            </w:pPr>
            <w:r>
              <w:rPr>
                <w:b w:val="0"/>
                <w:sz w:val="24"/>
              </w:rPr>
            </w:r>
          </w:p>
        </w:tc>
        <w:tc>
          <w:tcPr>
            <w:tcW w:type="dxa" w:w="2088"/>
          </w:tcPr>
          <w:p>
            <w:pPr>
              <w:spacing w:line="252" w:lineRule="auto" w:after="80" w:before="80"/>
              <w:jc w:val="left"/>
            </w:pPr>
            <w:r>
              <w:rPr>
                <w:b w:val="0"/>
                <w:sz w:val="24"/>
              </w:rPr>
            </w:r>
          </w:p>
        </w:tc>
      </w:tr>
      <w:tr>
        <w:trPr>
          <w:cantSplit/>
        </w:trPr>
        <w:tc>
          <w:tcPr>
            <w:tcW w:type="dxa" w:w="936"/>
          </w:tcPr>
          <w:p>
            <w:pPr>
              <w:spacing w:line="252" w:lineRule="auto" w:after="80" w:before="80"/>
              <w:jc w:val="left"/>
            </w:pPr>
            <w:r>
              <w:rPr>
                <w:b w:val="0"/>
                <w:sz w:val="24"/>
              </w:rPr>
              <w:t>3</w:t>
            </w:r>
          </w:p>
        </w:tc>
        <w:tc>
          <w:tcPr>
            <w:tcW w:type="dxa" w:w="2808"/>
          </w:tcPr>
          <w:p>
            <w:pPr>
              <w:spacing w:line="252" w:lineRule="auto" w:after="80" w:before="80"/>
              <w:jc w:val="left"/>
            </w:pPr>
            <w:r>
              <w:rPr>
                <w:b w:val="0"/>
                <w:sz w:val="24"/>
              </w:rPr>
              <w:t>Dhanush Singh G</w:t>
            </w:r>
          </w:p>
        </w:tc>
        <w:tc>
          <w:tcPr>
            <w:tcW w:type="dxa" w:w="1944"/>
          </w:tcPr>
          <w:p>
            <w:pPr>
              <w:spacing w:line="252" w:lineRule="auto" w:after="80" w:before="80"/>
              <w:jc w:val="left"/>
            </w:pPr>
            <w:r>
              <w:rPr>
                <w:b w:val="0"/>
                <w:sz w:val="24"/>
              </w:rPr>
              <w:t>1JS23CS048</w:t>
            </w:r>
          </w:p>
        </w:tc>
        <w:tc>
          <w:tcPr>
            <w:tcW w:type="dxa" w:w="1224"/>
          </w:tcPr>
          <w:p>
            <w:pPr>
              <w:spacing w:line="252" w:lineRule="auto" w:after="80" w:before="80"/>
              <w:jc w:val="left"/>
            </w:pPr>
            <w:r>
              <w:rPr>
                <w:b w:val="0"/>
                <w:sz w:val="24"/>
              </w:rPr>
            </w:r>
          </w:p>
        </w:tc>
        <w:tc>
          <w:tcPr>
            <w:tcW w:type="dxa" w:w="2088"/>
          </w:tcPr>
          <w:p>
            <w:pPr>
              <w:spacing w:line="252" w:lineRule="auto" w:after="80" w:before="80"/>
              <w:jc w:val="left"/>
            </w:pPr>
            <w:r>
              <w:rPr>
                <w:b w:val="0"/>
                <w:sz w:val="24"/>
              </w:rPr>
            </w:r>
          </w:p>
        </w:tc>
      </w:tr>
    </w:tbl>
    <w:p>
      <w:pPr>
        <w:spacing w:line="264" w:lineRule="auto" w:after="200"/>
        <w:jc w:val="center"/>
      </w:pPr>
      <w:r>
        <w:rPr>
          <w:b/>
          <w:sz w:val="24"/>
        </w:rPr>
        <w:t>Group No.: 18     |     Section: CSE A</w:t>
      </w:r>
    </w:p>
    <w:p>
      <w:pPr>
        <w:spacing w:line="264" w:lineRule="auto" w:after="100"/>
        <w:jc w:val="center"/>
      </w:pPr>
      <w:r>
        <w:rPr>
          <w:b/>
          <w:sz w:val="24"/>
        </w:rPr>
        <w:t>Course Faculty: Sandhiya B</w:t>
      </w:r>
    </w:p>
    <w:p>
      <w:pPr>
        <w:spacing w:after="60"/>
        <w:jc w:val="center"/>
      </w:pPr>
      <w:r>
        <w:drawing>
          <wp:inline xmlns:a="http://schemas.openxmlformats.org/drawingml/2006/main" xmlns:pic="http://schemas.openxmlformats.org/drawingml/2006/picture">
            <wp:extent cx="686503" cy="658368"/>
            <wp:docPr id="2" name="Picture 2"/>
            <wp:cNvGraphicFramePr>
              <a:graphicFrameLocks noChangeAspect="1"/>
            </wp:cNvGraphicFramePr>
            <a:graphic>
              <a:graphicData uri="http://schemas.openxmlformats.org/drawingml/2006/picture">
                <pic:pic>
                  <pic:nvPicPr>
                    <pic:cNvPr id="0" name="logo_1.png"/>
                    <pic:cNvPicPr/>
                  </pic:nvPicPr>
                  <pic:blipFill>
                    <a:blip r:embed="rId12"/>
                    <a:stretch>
                      <a:fillRect/>
                    </a:stretch>
                  </pic:blipFill>
                  <pic:spPr>
                    <a:xfrm>
                      <a:off x="0" y="0"/>
                      <a:ext cx="686503" cy="658368"/>
                    </a:xfrm>
                    <a:prstGeom prst="rect"/>
                  </pic:spPr>
                </pic:pic>
              </a:graphicData>
            </a:graphic>
          </wp:inline>
        </w:drawing>
      </w:r>
    </w:p>
    <w:p>
      <w:pPr>
        <w:spacing w:line="264" w:lineRule="auto" w:after="100"/>
        <w:jc w:val="center"/>
      </w:pPr>
      <w:r>
        <w:rPr>
          <w:b/>
          <w:sz w:val="24"/>
        </w:rPr>
        <w:t>Department of Computer Science and Engineering</w:t>
      </w:r>
    </w:p>
    <w:p>
      <w:pPr>
        <w:spacing w:line="264" w:lineRule="auto" w:after="100"/>
        <w:jc w:val="center"/>
      </w:pPr>
      <w:r>
        <w:rPr>
          <w:b/>
          <w:sz w:val="28"/>
        </w:rPr>
        <w:t>JSS ACADEMY OF TECHNICAL EDUCATION</w:t>
      </w:r>
    </w:p>
    <w:p>
      <w:pPr>
        <w:spacing w:line="264" w:lineRule="auto" w:after="100"/>
        <w:jc w:val="center"/>
      </w:pPr>
      <w:r>
        <w:rPr>
          <w:b w:val="0"/>
          <w:sz w:val="24"/>
        </w:rPr>
        <w:t>JSS Campus Road, Dr. Vishnuvardhan Road, Bengaluru – 560060</w:t>
      </w:r>
    </w:p>
    <w:p>
      <w:pPr>
        <w:spacing w:line="264" w:lineRule="auto" w:after="100"/>
        <w:jc w:val="center"/>
      </w:pPr>
      <w:r>
        <w:rPr>
          <w:b w:val="0"/>
          <w:sz w:val="24"/>
        </w:rPr>
        <w:t>Academic Year: 2026–2027 (ODD Semester)</w:t>
      </w:r>
    </w:p>
    <w:p>
      <w:r>
        <w:br w:type="page"/>
      </w:r>
    </w:p>
    <w:p>
      <w:pPr>
        <w:pStyle w:val="Heading1"/>
      </w:pPr>
      <w:r>
        <w:t>Contents</w:t>
      </w:r>
    </w:p>
    <w:tbl>
      <w:tblPr>
        <w:tblStyle w:val="TableGrid"/>
        <w:tblW w:type="auto" w:w="0"/>
        <w:tblLayout w:type="fixed"/>
        <w:tblLook w:firstColumn="1" w:firstRow="1" w:lastColumn="0" w:lastRow="0" w:noHBand="0" w:noVBand="1" w:val="04A0"/>
      </w:tblPr>
      <w:tblGrid>
        <w:gridCol w:w="7992"/>
        <w:gridCol w:w="1152"/>
      </w:tblGrid>
      <w:tr>
        <w:trPr>
          <w:cantSplit/>
        </w:trPr>
        <w:tc>
          <w:tcPr>
            <w:tcW w:type="dxa" w:w="7992"/>
            <w:shd w:fill="EAF2EF"/>
          </w:tcPr>
          <w:p>
            <w:pPr>
              <w:spacing w:line="252" w:lineRule="auto" w:after="80" w:before="80"/>
              <w:jc w:val="left"/>
            </w:pPr>
            <w:r>
              <w:rPr>
                <w:b/>
                <w:sz w:val="24"/>
              </w:rPr>
              <w:t>Section</w:t>
            </w:r>
          </w:p>
        </w:tc>
        <w:tc>
          <w:tcPr>
            <w:tcW w:type="dxa" w:w="1152"/>
            <w:shd w:fill="EAF2EF"/>
          </w:tcPr>
          <w:p>
            <w:pPr>
              <w:spacing w:line="252" w:lineRule="auto" w:after="80" w:before="80"/>
              <w:jc w:val="left"/>
            </w:pPr>
            <w:r>
              <w:rPr>
                <w:b/>
                <w:sz w:val="24"/>
              </w:rPr>
              <w:t>Page</w:t>
            </w:r>
          </w:p>
        </w:tc>
      </w:tr>
      <w:tr>
        <w:trPr>
          <w:cantSplit/>
        </w:trPr>
        <w:tc>
          <w:tcPr>
            <w:tcW w:type="dxa" w:w="7992"/>
          </w:tcPr>
          <w:p>
            <w:pPr>
              <w:spacing w:line="252" w:lineRule="auto" w:after="80" w:before="80"/>
              <w:jc w:val="left"/>
            </w:pPr>
            <w:r>
              <w:rPr>
                <w:b w:val="0"/>
                <w:sz w:val="24"/>
              </w:rPr>
              <w:t>1. Introduction, Objectives and Dataset</w:t>
            </w:r>
          </w:p>
        </w:tc>
        <w:tc>
          <w:tcPr>
            <w:tcW w:type="dxa" w:w="1152"/>
          </w:tcPr>
          <w:p>
            <w:pPr>
              <w:spacing w:line="252" w:lineRule="auto" w:after="80" w:before="80"/>
              <w:jc w:val="left"/>
            </w:pPr>
            <w:r>
              <w:rPr>
                <w:b w:val="0"/>
                <w:sz w:val="24"/>
              </w:rPr>
              <w:t>3</w:t>
            </w:r>
          </w:p>
        </w:tc>
      </w:tr>
      <w:tr>
        <w:trPr>
          <w:cantSplit/>
        </w:trPr>
        <w:tc>
          <w:tcPr>
            <w:tcW w:type="dxa" w:w="7992"/>
          </w:tcPr>
          <w:p>
            <w:pPr>
              <w:spacing w:line="252" w:lineRule="auto" w:after="80" w:before="80"/>
              <w:jc w:val="left"/>
            </w:pPr>
            <w:r>
              <w:rPr>
                <w:b w:val="0"/>
                <w:sz w:val="24"/>
              </w:rPr>
              <w:t>2. Environment and Architecture</w:t>
            </w:r>
          </w:p>
        </w:tc>
        <w:tc>
          <w:tcPr>
            <w:tcW w:type="dxa" w:w="1152"/>
          </w:tcPr>
          <w:p>
            <w:pPr>
              <w:spacing w:line="252" w:lineRule="auto" w:after="80" w:before="80"/>
              <w:jc w:val="left"/>
            </w:pPr>
            <w:r>
              <w:rPr>
                <w:b w:val="0"/>
                <w:sz w:val="24"/>
              </w:rPr>
              <w:t>4</w:t>
            </w:r>
          </w:p>
        </w:tc>
      </w:tr>
      <w:tr>
        <w:trPr>
          <w:cantSplit/>
        </w:trPr>
        <w:tc>
          <w:tcPr>
            <w:tcW w:type="dxa" w:w="7992"/>
          </w:tcPr>
          <w:p>
            <w:pPr>
              <w:spacing w:line="252" w:lineRule="auto" w:after="80" w:before="80"/>
              <w:jc w:val="left"/>
            </w:pPr>
            <w:r>
              <w:rPr>
                <w:b w:val="0"/>
                <w:sz w:val="24"/>
              </w:rPr>
              <w:t>3. Cluster Verification</w:t>
            </w:r>
          </w:p>
        </w:tc>
        <w:tc>
          <w:tcPr>
            <w:tcW w:type="dxa" w:w="1152"/>
          </w:tcPr>
          <w:p>
            <w:pPr>
              <w:spacing w:line="252" w:lineRule="auto" w:after="80" w:before="80"/>
              <w:jc w:val="left"/>
            </w:pPr>
            <w:r>
              <w:rPr>
                <w:b w:val="0"/>
                <w:sz w:val="24"/>
              </w:rPr>
              <w:t>5</w:t>
            </w:r>
          </w:p>
        </w:tc>
      </w:tr>
      <w:tr>
        <w:trPr>
          <w:cantSplit/>
        </w:trPr>
        <w:tc>
          <w:tcPr>
            <w:tcW w:type="dxa" w:w="7992"/>
          </w:tcPr>
          <w:p>
            <w:pPr>
              <w:spacing w:line="252" w:lineRule="auto" w:after="80" w:before="80"/>
              <w:jc w:val="left"/>
            </w:pPr>
            <w:r>
              <w:rPr>
                <w:b w:val="0"/>
                <w:sz w:val="24"/>
              </w:rPr>
              <w:t>4. MongoDB Ingestion and Linkage</w:t>
            </w:r>
          </w:p>
        </w:tc>
        <w:tc>
          <w:tcPr>
            <w:tcW w:type="dxa" w:w="1152"/>
          </w:tcPr>
          <w:p>
            <w:pPr>
              <w:spacing w:line="252" w:lineRule="auto" w:after="80" w:before="80"/>
              <w:jc w:val="left"/>
            </w:pPr>
            <w:r>
              <w:rPr>
                <w:b w:val="0"/>
                <w:sz w:val="24"/>
              </w:rPr>
              <w:t>6</w:t>
            </w:r>
          </w:p>
        </w:tc>
      </w:tr>
      <w:tr>
        <w:trPr>
          <w:cantSplit/>
        </w:trPr>
        <w:tc>
          <w:tcPr>
            <w:tcW w:type="dxa" w:w="7992"/>
          </w:tcPr>
          <w:p>
            <w:pPr>
              <w:spacing w:line="252" w:lineRule="auto" w:after="80" w:before="80"/>
              <w:jc w:val="left"/>
            </w:pPr>
            <w:r>
              <w:rPr>
                <w:b w:val="0"/>
                <w:sz w:val="24"/>
              </w:rPr>
              <w:t>5. MongoDB Aggregation and Profiling</w:t>
            </w:r>
          </w:p>
        </w:tc>
        <w:tc>
          <w:tcPr>
            <w:tcW w:type="dxa" w:w="1152"/>
          </w:tcPr>
          <w:p>
            <w:pPr>
              <w:spacing w:line="252" w:lineRule="auto" w:after="80" w:before="80"/>
              <w:jc w:val="left"/>
            </w:pPr>
            <w:r>
              <w:rPr>
                <w:b w:val="0"/>
                <w:sz w:val="24"/>
              </w:rPr>
              <w:t>7</w:t>
            </w:r>
          </w:p>
        </w:tc>
      </w:tr>
      <w:tr>
        <w:trPr>
          <w:cantSplit/>
        </w:trPr>
        <w:tc>
          <w:tcPr>
            <w:tcW w:type="dxa" w:w="7992"/>
          </w:tcPr>
          <w:p>
            <w:pPr>
              <w:spacing w:line="252" w:lineRule="auto" w:after="80" w:before="80"/>
              <w:jc w:val="left"/>
            </w:pPr>
            <w:r>
              <w:rPr>
                <w:b w:val="0"/>
                <w:sz w:val="24"/>
              </w:rPr>
              <w:t>6. HDFS File Management</w:t>
            </w:r>
          </w:p>
        </w:tc>
        <w:tc>
          <w:tcPr>
            <w:tcW w:type="dxa" w:w="1152"/>
          </w:tcPr>
          <w:p>
            <w:pPr>
              <w:spacing w:line="252" w:lineRule="auto" w:after="80" w:before="80"/>
              <w:jc w:val="left"/>
            </w:pPr>
            <w:r>
              <w:rPr>
                <w:b w:val="0"/>
                <w:sz w:val="24"/>
              </w:rPr>
              <w:t>8</w:t>
            </w:r>
          </w:p>
        </w:tc>
      </w:tr>
      <w:tr>
        <w:trPr>
          <w:cantSplit/>
        </w:trPr>
        <w:tc>
          <w:tcPr>
            <w:tcW w:type="dxa" w:w="7992"/>
          </w:tcPr>
          <w:p>
            <w:pPr>
              <w:spacing w:line="252" w:lineRule="auto" w:after="80" w:before="80"/>
              <w:jc w:val="left"/>
            </w:pPr>
            <w:r>
              <w:rPr>
                <w:b w:val="0"/>
                <w:sz w:val="24"/>
              </w:rPr>
              <w:t>7. MapReduce Analytics on YARN</w:t>
            </w:r>
          </w:p>
        </w:tc>
        <w:tc>
          <w:tcPr>
            <w:tcW w:type="dxa" w:w="1152"/>
          </w:tcPr>
          <w:p>
            <w:pPr>
              <w:spacing w:line="252" w:lineRule="auto" w:after="80" w:before="80"/>
              <w:jc w:val="left"/>
            </w:pPr>
            <w:r>
              <w:rPr>
                <w:b w:val="0"/>
                <w:sz w:val="24"/>
              </w:rPr>
              <w:t>9</w:t>
            </w:r>
          </w:p>
        </w:tc>
      </w:tr>
      <w:tr>
        <w:trPr>
          <w:cantSplit/>
        </w:trPr>
        <w:tc>
          <w:tcPr>
            <w:tcW w:type="dxa" w:w="7992"/>
          </w:tcPr>
          <w:p>
            <w:pPr>
              <w:spacing w:line="252" w:lineRule="auto" w:after="80" w:before="80"/>
              <w:jc w:val="left"/>
            </w:pPr>
            <w:r>
              <w:rPr>
                <w:b w:val="0"/>
                <w:sz w:val="24"/>
              </w:rPr>
              <w:t>8. Pig Transformation and Hive Tables</w:t>
            </w:r>
          </w:p>
        </w:tc>
        <w:tc>
          <w:tcPr>
            <w:tcW w:type="dxa" w:w="1152"/>
          </w:tcPr>
          <w:p>
            <w:pPr>
              <w:spacing w:line="252" w:lineRule="auto" w:after="80" w:before="80"/>
              <w:jc w:val="left"/>
            </w:pPr>
            <w:r>
              <w:rPr>
                <w:b w:val="0"/>
                <w:sz w:val="24"/>
              </w:rPr>
              <w:t>10</w:t>
            </w:r>
          </w:p>
        </w:tc>
      </w:tr>
      <w:tr>
        <w:trPr>
          <w:cantSplit/>
        </w:trPr>
        <w:tc>
          <w:tcPr>
            <w:tcW w:type="dxa" w:w="7992"/>
          </w:tcPr>
          <w:p>
            <w:pPr>
              <w:spacing w:line="252" w:lineRule="auto" w:after="80" w:before="80"/>
              <w:jc w:val="left"/>
            </w:pPr>
            <w:r>
              <w:rPr>
                <w:b w:val="0"/>
                <w:sz w:val="24"/>
              </w:rPr>
              <w:t>9. Hive Performance and Storage Results</w:t>
            </w:r>
          </w:p>
        </w:tc>
        <w:tc>
          <w:tcPr>
            <w:tcW w:type="dxa" w:w="1152"/>
          </w:tcPr>
          <w:p>
            <w:pPr>
              <w:spacing w:line="252" w:lineRule="auto" w:after="80" w:before="80"/>
              <w:jc w:val="left"/>
            </w:pPr>
            <w:r>
              <w:rPr>
                <w:b w:val="0"/>
                <w:sz w:val="24"/>
              </w:rPr>
              <w:t>11</w:t>
            </w:r>
          </w:p>
        </w:tc>
      </w:tr>
      <w:tr>
        <w:trPr>
          <w:cantSplit/>
        </w:trPr>
        <w:tc>
          <w:tcPr>
            <w:tcW w:type="dxa" w:w="7992"/>
          </w:tcPr>
          <w:p>
            <w:pPr>
              <w:spacing w:line="252" w:lineRule="auto" w:after="80" w:before="80"/>
              <w:jc w:val="left"/>
            </w:pPr>
            <w:r>
              <w:rPr>
                <w:b w:val="0"/>
                <w:sz w:val="24"/>
              </w:rPr>
              <w:t>10. Conclusion and References</w:t>
            </w:r>
          </w:p>
        </w:tc>
        <w:tc>
          <w:tcPr>
            <w:tcW w:type="dxa" w:w="1152"/>
          </w:tcPr>
          <w:p>
            <w:pPr>
              <w:spacing w:line="252" w:lineRule="auto" w:after="80" w:before="80"/>
              <w:jc w:val="left"/>
            </w:pPr>
            <w:r>
              <w:rPr>
                <w:b w:val="0"/>
                <w:sz w:val="24"/>
              </w:rPr>
              <w:t>12</w:t>
            </w:r>
          </w:p>
        </w:tc>
      </w:tr>
    </w:tbl>
    <w:p>
      <w:pPr>
        <w:jc w:val="both"/>
      </w:pPr>
      <w:r>
        <w:rPr>
          <w:b w:val="0"/>
        </w:rPr>
        <w:t>Dataset: USDA FoodData Central, October 31, 2024 CSV release. Group 18, CSE A. The report presents the implementation and recorded measurements for the linked 50,000-food development dataset.</w:t>
      </w:r>
    </w:p>
    <w:p>
      <w:r>
        <w:br w:type="page"/>
      </w:r>
    </w:p>
    <w:p>
      <w:pPr>
        <w:pStyle w:val="Heading1"/>
      </w:pPr>
      <w:r>
        <w:t>1. Introduction, Objectives and Dataset</w:t>
      </w:r>
    </w:p>
    <w:p>
      <w:pPr>
        <w:jc w:val="both"/>
      </w:pPr>
      <w:r>
        <w:rPr>
          <w:b w:val="0"/>
        </w:rPr>
        <w:t>This project analyses the USDA FoodData Central October 2024 CSV release using MongoDB, Hadoop MapReduce, Pig and Hive. Food descriptions, nutrient definitions and amounts are linked through identifiers and processed into food-type counts and nutrient summaries. The Flask dashboard presents the recorded evidence as the Track B practical extension.</w:t>
      </w:r>
    </w:p>
    <w:p>
      <w:pPr>
        <w:jc w:val="both"/>
      </w:pPr>
      <w:r>
        <w:rPr>
          <w:b w:val="0"/>
        </w:rPr>
        <w:t>The objectives are to ingest and index documents, execute aggregation pipelines, demonstrate distributed file operations and MapReduce, transform prepared data using Pig, and compare identical Hive queries over Text and RCFile storage.</w:t>
      </w:r>
    </w:p>
    <w:tbl>
      <w:tblPr>
        <w:tblStyle w:val="TableGrid"/>
        <w:tblW w:type="auto" w:w="0"/>
        <w:tblLayout w:type="fixed"/>
        <w:tblLook w:firstColumn="1" w:firstRow="1" w:lastColumn="0" w:lastRow="0" w:noHBand="0" w:noVBand="1" w:val="04A0"/>
      </w:tblPr>
      <w:tblGrid>
        <w:gridCol w:w="3384"/>
        <w:gridCol w:w="2736"/>
        <w:gridCol w:w="2880"/>
      </w:tblGrid>
      <w:tr>
        <w:trPr>
          <w:cantSplit/>
        </w:trPr>
        <w:tc>
          <w:tcPr>
            <w:tcW w:type="dxa" w:w="3384"/>
            <w:shd w:fill="EAF2EF"/>
          </w:tcPr>
          <w:p>
            <w:pPr>
              <w:spacing w:line="252" w:lineRule="auto" w:after="80" w:before="80"/>
              <w:jc w:val="left"/>
            </w:pPr>
            <w:r>
              <w:rPr>
                <w:b/>
                <w:sz w:val="24"/>
              </w:rPr>
              <w:t>Dataset item</w:t>
            </w:r>
          </w:p>
        </w:tc>
        <w:tc>
          <w:tcPr>
            <w:tcW w:type="dxa" w:w="2736"/>
            <w:shd w:fill="EAF2EF"/>
          </w:tcPr>
          <w:p>
            <w:pPr>
              <w:spacing w:line="252" w:lineRule="auto" w:after="80" w:before="80"/>
              <w:jc w:val="left"/>
            </w:pPr>
            <w:r>
              <w:rPr>
                <w:b/>
                <w:sz w:val="24"/>
              </w:rPr>
              <w:t>Full release</w:t>
            </w:r>
          </w:p>
        </w:tc>
        <w:tc>
          <w:tcPr>
            <w:tcW w:type="dxa" w:w="2880"/>
            <w:shd w:fill="EAF2EF"/>
          </w:tcPr>
          <w:p>
            <w:pPr>
              <w:spacing w:line="252" w:lineRule="auto" w:after="80" w:before="80"/>
              <w:jc w:val="left"/>
            </w:pPr>
            <w:r>
              <w:rPr>
                <w:b/>
                <w:sz w:val="24"/>
              </w:rPr>
              <w:t>Analysed subset</w:t>
            </w:r>
          </w:p>
        </w:tc>
      </w:tr>
      <w:tr>
        <w:trPr>
          <w:cantSplit/>
        </w:trPr>
        <w:tc>
          <w:tcPr>
            <w:tcW w:type="dxa" w:w="3384"/>
          </w:tcPr>
          <w:p>
            <w:pPr>
              <w:spacing w:line="252" w:lineRule="auto" w:after="80" w:before="80"/>
              <w:jc w:val="left"/>
            </w:pPr>
            <w:r>
              <w:rPr>
                <w:b w:val="0"/>
                <w:sz w:val="24"/>
              </w:rPr>
              <w:t>Foods</w:t>
            </w:r>
          </w:p>
        </w:tc>
        <w:tc>
          <w:tcPr>
            <w:tcW w:type="dxa" w:w="2736"/>
          </w:tcPr>
          <w:p>
            <w:pPr>
              <w:spacing w:line="252" w:lineRule="auto" w:after="80" w:before="80"/>
              <w:jc w:val="left"/>
            </w:pPr>
            <w:r>
              <w:rPr>
                <w:b w:val="0"/>
                <w:sz w:val="24"/>
              </w:rPr>
              <w:t>2,063,876</w:t>
            </w:r>
          </w:p>
        </w:tc>
        <w:tc>
          <w:tcPr>
            <w:tcW w:type="dxa" w:w="2880"/>
          </w:tcPr>
          <w:p>
            <w:pPr>
              <w:spacing w:line="252" w:lineRule="auto" w:after="80" w:before="80"/>
              <w:jc w:val="left"/>
            </w:pPr>
            <w:r>
              <w:rPr>
                <w:b w:val="0"/>
                <w:sz w:val="24"/>
              </w:rPr>
              <w:t>50,000</w:t>
            </w:r>
          </w:p>
        </w:tc>
      </w:tr>
      <w:tr>
        <w:trPr>
          <w:cantSplit/>
        </w:trPr>
        <w:tc>
          <w:tcPr>
            <w:tcW w:type="dxa" w:w="3384"/>
          </w:tcPr>
          <w:p>
            <w:pPr>
              <w:spacing w:line="252" w:lineRule="auto" w:after="80" w:before="80"/>
              <w:jc w:val="left"/>
            </w:pPr>
            <w:r>
              <w:rPr>
                <w:b w:val="0"/>
                <w:sz w:val="24"/>
              </w:rPr>
              <w:t>Food–nutrient observations</w:t>
            </w:r>
          </w:p>
        </w:tc>
        <w:tc>
          <w:tcPr>
            <w:tcW w:type="dxa" w:w="2736"/>
          </w:tcPr>
          <w:p>
            <w:pPr>
              <w:spacing w:line="252" w:lineRule="auto" w:after="80" w:before="80"/>
              <w:jc w:val="left"/>
            </w:pPr>
            <w:r>
              <w:rPr>
                <w:b w:val="0"/>
                <w:sz w:val="24"/>
              </w:rPr>
              <w:t>26,848,323</w:t>
            </w:r>
          </w:p>
        </w:tc>
        <w:tc>
          <w:tcPr>
            <w:tcW w:type="dxa" w:w="2880"/>
          </w:tcPr>
          <w:p>
            <w:pPr>
              <w:spacing w:line="252" w:lineRule="auto" w:after="80" w:before="80"/>
              <w:jc w:val="left"/>
            </w:pPr>
            <w:r>
              <w:rPr>
                <w:b w:val="0"/>
                <w:sz w:val="24"/>
              </w:rPr>
              <w:t>1,126,928</w:t>
            </w:r>
          </w:p>
        </w:tc>
      </w:tr>
      <w:tr>
        <w:trPr>
          <w:cantSplit/>
        </w:trPr>
        <w:tc>
          <w:tcPr>
            <w:tcW w:type="dxa" w:w="3384"/>
          </w:tcPr>
          <w:p>
            <w:pPr>
              <w:spacing w:line="252" w:lineRule="auto" w:after="80" w:before="80"/>
              <w:jc w:val="left"/>
            </w:pPr>
            <w:r>
              <w:rPr>
                <w:b w:val="0"/>
                <w:sz w:val="24"/>
              </w:rPr>
              <w:t>Nutrient definitions</w:t>
            </w:r>
          </w:p>
        </w:tc>
        <w:tc>
          <w:tcPr>
            <w:tcW w:type="dxa" w:w="2736"/>
          </w:tcPr>
          <w:p>
            <w:pPr>
              <w:spacing w:line="252" w:lineRule="auto" w:after="80" w:before="80"/>
              <w:jc w:val="left"/>
            </w:pPr>
            <w:r>
              <w:rPr>
                <w:b w:val="0"/>
                <w:sz w:val="24"/>
              </w:rPr>
              <w:t>477</w:t>
            </w:r>
          </w:p>
        </w:tc>
        <w:tc>
          <w:tcPr>
            <w:tcW w:type="dxa" w:w="2880"/>
          </w:tcPr>
          <w:p>
            <w:pPr>
              <w:spacing w:line="252" w:lineRule="auto" w:after="80" w:before="80"/>
              <w:jc w:val="left"/>
            </w:pPr>
            <w:r>
              <w:rPr>
                <w:b w:val="0"/>
                <w:sz w:val="24"/>
              </w:rPr>
              <w:t>477</w:t>
            </w:r>
          </w:p>
        </w:tc>
      </w:tr>
      <w:tr>
        <w:trPr>
          <w:cantSplit/>
        </w:trPr>
        <w:tc>
          <w:tcPr>
            <w:tcW w:type="dxa" w:w="3384"/>
          </w:tcPr>
          <w:p>
            <w:pPr>
              <w:spacing w:line="252" w:lineRule="auto" w:after="80" w:before="80"/>
              <w:jc w:val="left"/>
            </w:pPr>
            <w:r>
              <w:rPr>
                <w:b w:val="0"/>
                <w:sz w:val="24"/>
              </w:rPr>
              <w:t>Source tables</w:t>
            </w:r>
          </w:p>
        </w:tc>
        <w:tc>
          <w:tcPr>
            <w:tcW w:type="dxa" w:w="2736"/>
          </w:tcPr>
          <w:p>
            <w:pPr>
              <w:spacing w:line="252" w:lineRule="auto" w:after="80" w:before="80"/>
              <w:jc w:val="left"/>
            </w:pPr>
            <w:r>
              <w:rPr>
                <w:b w:val="0"/>
                <w:sz w:val="24"/>
              </w:rPr>
              <w:t>34 CSV files</w:t>
            </w:r>
          </w:p>
        </w:tc>
        <w:tc>
          <w:tcPr>
            <w:tcW w:type="dxa" w:w="2880"/>
          </w:tcPr>
          <w:p>
            <w:pPr>
              <w:spacing w:line="252" w:lineRule="auto" w:after="80" w:before="80"/>
              <w:jc w:val="left"/>
            </w:pPr>
            <w:r>
              <w:rPr>
                <w:b w:val="0"/>
                <w:sz w:val="24"/>
              </w:rPr>
              <w:t>3 principal linked tables</w:t>
            </w:r>
          </w:p>
        </w:tc>
      </w:tr>
    </w:tbl>
    <w:p>
      <w:pPr>
        <w:pStyle w:val="Heading2"/>
      </w:pPr>
      <w:r>
        <w:t>1.1 Selection and source relationships</w:t>
      </w:r>
    </w:p>
    <w:p>
      <w:pPr>
        <w:jc w:val="both"/>
      </w:pPr>
      <w:r>
        <w:rPr>
          <w:b w:val="0"/>
        </w:rPr>
        <w:t>The development subset takes the first 50,000 foods by source-row ordinal and retains all their linked nutrient observations. It is a deterministic development selection, not a representative statistical sample. Full-source ingestion separately imported all 34 CSV tables into MongoDB.</w:t>
      </w:r>
    </w:p>
    <w:p>
      <w:pPr>
        <w:jc w:val="both"/>
      </w:pPr>
      <w:r>
        <w:rPr>
          <w:b w:val="0"/>
        </w:rPr>
        <w:t>food.csv supplies food IDs, names and types; food_nutrient.csv connects food IDs to nutrient IDs and amounts; nutrient.csv supplies nutrient names and units. The joins use fdc_id and nutrient_id. Each prepared record contains food ID, type, category, nutrient ID, name, unit and amount.</w:t>
      </w:r>
    </w:p>
    <w:p>
      <w:pPr>
        <w:pStyle w:val="Heading2"/>
      </w:pPr>
      <w:r>
        <w:t>1.2 Interpretation</w:t>
      </w:r>
    </w:p>
    <w:p>
      <w:pPr>
        <w:jc w:val="both"/>
      </w:pPr>
      <w:r>
        <w:rPr>
          <w:b w:val="0"/>
        </w:rPr>
        <w:t>A food can have many nutrient observations. A grouped mean is the total recorded amount divided by the number of usable observations for that nutrient and food type. It does not describe a single named product or an amount consumed.</w:t>
      </w:r>
    </w:p>
    <w:p>
      <w:r>
        <w:br w:type="page"/>
      </w:r>
    </w:p>
    <w:p>
      <w:pPr>
        <w:pStyle w:val="Heading1"/>
      </w:pPr>
      <w:r>
        <w:t>2. Environment and Architecture</w:t>
      </w:r>
    </w:p>
    <w:p>
      <w:pPr>
        <w:jc w:val="both"/>
      </w:pPr>
      <w:r>
        <w:rPr>
          <w:b w:val="0"/>
        </w:rPr>
        <w:t>The reported experiment uses one master and two Hadoop worker containers connected through Docker on an Ubuntu 24.04 / WSL2 laptop. Approximately 10 GB RAM and four processors are available to WSL. This is a three-container development cluster, distinct from three physical lab computers.</w:t>
      </w:r>
    </w:p>
    <w:tbl>
      <w:tblPr>
        <w:tblStyle w:val="TableGrid"/>
        <w:tblW w:type="auto" w:w="0"/>
        <w:tblLayout w:type="fixed"/>
        <w:tblLook w:firstColumn="1" w:firstRow="1" w:lastColumn="0" w:lastRow="0" w:noHBand="0" w:noVBand="1" w:val="04A0"/>
      </w:tblPr>
      <w:tblGrid>
        <w:gridCol w:w="2160"/>
        <w:gridCol w:w="6840"/>
      </w:tblGrid>
      <w:tr>
        <w:trPr>
          <w:cantSplit/>
        </w:trPr>
        <w:tc>
          <w:tcPr>
            <w:tcW w:type="dxa" w:w="2160"/>
            <w:shd w:fill="EAF2EF"/>
          </w:tcPr>
          <w:p>
            <w:pPr>
              <w:spacing w:line="252" w:lineRule="auto" w:after="80" w:before="80"/>
              <w:jc w:val="left"/>
            </w:pPr>
            <w:r>
              <w:rPr>
                <w:b/>
                <w:sz w:val="24"/>
              </w:rPr>
              <w:t>Component</w:t>
            </w:r>
          </w:p>
        </w:tc>
        <w:tc>
          <w:tcPr>
            <w:tcW w:type="dxa" w:w="6840"/>
            <w:shd w:fill="EAF2EF"/>
          </w:tcPr>
          <w:p>
            <w:pPr>
              <w:spacing w:line="252" w:lineRule="auto" w:after="80" w:before="80"/>
              <w:jc w:val="left"/>
            </w:pPr>
            <w:r>
              <w:rPr>
                <w:b/>
                <w:sz w:val="24"/>
              </w:rPr>
              <w:t>Configuration</w:t>
            </w:r>
          </w:p>
        </w:tc>
      </w:tr>
      <w:tr>
        <w:trPr>
          <w:cantSplit/>
        </w:trPr>
        <w:tc>
          <w:tcPr>
            <w:tcW w:type="dxa" w:w="2160"/>
          </w:tcPr>
          <w:p>
            <w:pPr>
              <w:spacing w:line="252" w:lineRule="auto" w:after="80" w:before="80"/>
              <w:jc w:val="left"/>
            </w:pPr>
            <w:r>
              <w:rPr>
                <w:b w:val="0"/>
                <w:sz w:val="24"/>
              </w:rPr>
              <w:t>Hadoop / Java</w:t>
            </w:r>
          </w:p>
        </w:tc>
        <w:tc>
          <w:tcPr>
            <w:tcW w:type="dxa" w:w="6840"/>
          </w:tcPr>
          <w:p>
            <w:pPr>
              <w:spacing w:line="252" w:lineRule="auto" w:after="80" w:before="80"/>
              <w:jc w:val="left"/>
            </w:pPr>
            <w:r>
              <w:rPr>
                <w:b w:val="0"/>
                <w:sz w:val="24"/>
              </w:rPr>
              <w:t>Hadoop 2.10.2; Java 8</w:t>
            </w:r>
          </w:p>
        </w:tc>
      </w:tr>
      <w:tr>
        <w:trPr>
          <w:cantSplit/>
        </w:trPr>
        <w:tc>
          <w:tcPr>
            <w:tcW w:type="dxa" w:w="2160"/>
          </w:tcPr>
          <w:p>
            <w:pPr>
              <w:spacing w:line="252" w:lineRule="auto" w:after="80" w:before="80"/>
              <w:jc w:val="left"/>
            </w:pPr>
            <w:r>
              <w:rPr>
                <w:b w:val="0"/>
                <w:sz w:val="24"/>
              </w:rPr>
              <w:t>Analytics tools</w:t>
            </w:r>
          </w:p>
        </w:tc>
        <w:tc>
          <w:tcPr>
            <w:tcW w:type="dxa" w:w="6840"/>
          </w:tcPr>
          <w:p>
            <w:pPr>
              <w:spacing w:line="252" w:lineRule="auto" w:after="80" w:before="80"/>
              <w:jc w:val="left"/>
            </w:pPr>
            <w:r>
              <w:rPr>
                <w:b w:val="0"/>
                <w:sz w:val="24"/>
              </w:rPr>
              <w:t>MongoDB 7.0.16; Pig 0.17.0; Hive 2.3.9</w:t>
            </w:r>
          </w:p>
        </w:tc>
      </w:tr>
      <w:tr>
        <w:trPr>
          <w:cantSplit/>
        </w:trPr>
        <w:tc>
          <w:tcPr>
            <w:tcW w:type="dxa" w:w="2160"/>
          </w:tcPr>
          <w:p>
            <w:pPr>
              <w:spacing w:line="252" w:lineRule="auto" w:after="80" w:before="80"/>
              <w:jc w:val="left"/>
            </w:pPr>
            <w:r>
              <w:rPr>
                <w:b w:val="0"/>
                <w:sz w:val="24"/>
              </w:rPr>
              <w:t>Master</w:t>
            </w:r>
          </w:p>
        </w:tc>
        <w:tc>
          <w:tcPr>
            <w:tcW w:type="dxa" w:w="6840"/>
          </w:tcPr>
          <w:p>
            <w:pPr>
              <w:spacing w:line="252" w:lineRule="auto" w:after="80" w:before="80"/>
              <w:jc w:val="left"/>
            </w:pPr>
            <w:r>
              <w:rPr>
                <w:b w:val="0"/>
                <w:sz w:val="24"/>
              </w:rPr>
              <w:t>NameNode, ResourceManager and Pig/Hive clients</w:t>
            </w:r>
          </w:p>
        </w:tc>
      </w:tr>
      <w:tr>
        <w:trPr>
          <w:cantSplit/>
        </w:trPr>
        <w:tc>
          <w:tcPr>
            <w:tcW w:type="dxa" w:w="2160"/>
          </w:tcPr>
          <w:p>
            <w:pPr>
              <w:spacing w:line="252" w:lineRule="auto" w:after="80" w:before="80"/>
              <w:jc w:val="left"/>
            </w:pPr>
            <w:r>
              <w:rPr>
                <w:b w:val="0"/>
                <w:sz w:val="24"/>
              </w:rPr>
              <w:t>Workers</w:t>
            </w:r>
          </w:p>
        </w:tc>
        <w:tc>
          <w:tcPr>
            <w:tcW w:type="dxa" w:w="6840"/>
          </w:tcPr>
          <w:p>
            <w:pPr>
              <w:spacing w:line="252" w:lineRule="auto" w:after="80" w:before="80"/>
              <w:jc w:val="left"/>
            </w:pPr>
            <w:r>
              <w:rPr>
                <w:b w:val="0"/>
                <w:sz w:val="24"/>
              </w:rPr>
              <w:t>Two DataNodes and two NodeManagers</w:t>
            </w:r>
          </w:p>
        </w:tc>
      </w:tr>
      <w:tr>
        <w:trPr>
          <w:cantSplit/>
        </w:trPr>
        <w:tc>
          <w:tcPr>
            <w:tcW w:type="dxa" w:w="2160"/>
          </w:tcPr>
          <w:p>
            <w:pPr>
              <w:spacing w:line="252" w:lineRule="auto" w:after="80" w:before="80"/>
              <w:jc w:val="left"/>
            </w:pPr>
            <w:r>
              <w:rPr>
                <w:b w:val="0"/>
                <w:sz w:val="24"/>
              </w:rPr>
              <w:t>Storage</w:t>
            </w:r>
          </w:p>
        </w:tc>
        <w:tc>
          <w:tcPr>
            <w:tcW w:type="dxa" w:w="6840"/>
          </w:tcPr>
          <w:p>
            <w:pPr>
              <w:spacing w:line="252" w:lineRule="auto" w:after="80" w:before="80"/>
              <w:jc w:val="left"/>
            </w:pPr>
            <w:r>
              <w:rPr>
                <w:b w:val="0"/>
                <w:sz w:val="24"/>
              </w:rPr>
              <w:t>Persistent directories; HDFS replication factor 2</w:t>
            </w:r>
          </w:p>
        </w:tc>
      </w:tr>
    </w:tbl>
    <w:p>
      <w:pPr>
        <w:jc w:val="center"/>
      </w:pPr>
      <w:r>
        <w:drawing>
          <wp:inline xmlns:a="http://schemas.openxmlformats.org/drawingml/2006/main" xmlns:pic="http://schemas.openxmlformats.org/drawingml/2006/picture">
            <wp:extent cx="5212080" cy="2654444"/>
            <wp:docPr id="3" name="Picture 3"/>
            <wp:cNvGraphicFramePr>
              <a:graphicFrameLocks noChangeAspect="1"/>
            </wp:cNvGraphicFramePr>
            <a:graphic>
              <a:graphicData uri="http://schemas.openxmlformats.org/drawingml/2006/picture">
                <pic:pic>
                  <pic:nvPicPr>
                    <pic:cNvPr id="0" name="pipeline.png"/>
                    <pic:cNvPicPr/>
                  </pic:nvPicPr>
                  <pic:blipFill>
                    <a:blip r:embed="rId13"/>
                    <a:stretch>
                      <a:fillRect/>
                    </a:stretch>
                  </pic:blipFill>
                  <pic:spPr>
                    <a:xfrm>
                      <a:off x="0" y="0"/>
                      <a:ext cx="5212080" cy="2654444"/>
                    </a:xfrm>
                    <a:prstGeom prst="rect"/>
                  </pic:spPr>
                </pic:pic>
              </a:graphicData>
            </a:graphic>
          </wp:inline>
        </w:drawing>
      </w:r>
    </w:p>
    <w:p>
      <w:pPr>
        <w:spacing w:line="240" w:lineRule="auto" w:after="200"/>
        <w:jc w:val="center"/>
      </w:pPr>
      <w:r>
        <w:t>Figure 1. Dataset processing branches and evidence flow.</w:t>
      </w:r>
    </w:p>
    <w:p>
      <w:pPr>
        <w:jc w:val="both"/>
      </w:pPr>
      <w:r>
        <w:rPr>
          <w:b w:val="0"/>
        </w:rPr>
        <w:t>MongoDB analytics and Hadoop analytics use the same selected records. MapReduce and Pig read prepared HDFS files as separate branches; Pig writes the cleaned input used by Hive. Service switching reduces concurrent memory use on the laptop.</w:t>
      </w:r>
    </w:p>
    <w:p>
      <w:r>
        <w:br w:type="page"/>
      </w:r>
    </w:p>
    <w:p>
      <w:pPr>
        <w:pStyle w:val="Heading1"/>
      </w:pPr>
      <w:r>
        <w:t>3. Cluster Verification</w:t>
      </w:r>
    </w:p>
    <w:p>
      <w:pPr>
        <w:jc w:val="both"/>
      </w:pPr>
      <w:r>
        <w:rPr>
          <w:b w:val="0"/>
        </w:rPr>
        <w:t>The supplied terminal evidence reports two live DataNodes, worker1 and worker2, with normal decommission status. These are Docker network addresses. The capacity shown by each container reflects its underlying filesystem and should not be added as independent physical disk capacity.</w:t>
      </w:r>
    </w:p>
    <w:p>
      <w:pPr>
        <w:spacing w:after="60"/>
        <w:jc w:val="center"/>
      </w:pPr>
      <w:r>
        <w:drawing>
          <wp:inline xmlns:a="http://schemas.openxmlformats.org/drawingml/2006/main" xmlns:pic="http://schemas.openxmlformats.org/drawingml/2006/picture">
            <wp:extent cx="5212080" cy="2441880"/>
            <wp:docPr id="4" name="Picture 4"/>
            <wp:cNvGraphicFramePr>
              <a:graphicFrameLocks noChangeAspect="1"/>
            </wp:cNvGraphicFramePr>
            <a:graphic>
              <a:graphicData uri="http://schemas.openxmlformats.org/drawingml/2006/picture">
                <pic:pic>
                  <pic:nvPicPr>
                    <pic:cNvPr id="0" name="Screenshot 2026-10-28 114300.png"/>
                    <pic:cNvPicPr/>
                  </pic:nvPicPr>
                  <pic:blipFill>
                    <a:blip r:embed="rId14"/>
                    <a:stretch>
                      <a:fillRect/>
                    </a:stretch>
                  </pic:blipFill>
                  <pic:spPr>
                    <a:xfrm>
                      <a:off x="0" y="0"/>
                      <a:ext cx="5212080" cy="2441880"/>
                    </a:xfrm>
                    <a:prstGeom prst="rect"/>
                  </pic:spPr>
                </pic:pic>
              </a:graphicData>
            </a:graphic>
          </wp:inline>
        </w:drawing>
      </w:r>
    </w:p>
    <w:p>
      <w:pPr>
        <w:spacing w:line="240" w:lineRule="auto" w:after="140"/>
        <w:jc w:val="center"/>
      </w:pPr>
      <w:r>
        <w:t>Figure 2. HDFS report identifying two live DataNodes and worker2.</w:t>
      </w:r>
    </w:p>
    <w:p>
      <w:pPr>
        <w:spacing w:after="60"/>
        <w:jc w:val="center"/>
      </w:pPr>
      <w:r>
        <w:drawing>
          <wp:inline xmlns:a="http://schemas.openxmlformats.org/drawingml/2006/main" xmlns:pic="http://schemas.openxmlformats.org/drawingml/2006/picture">
            <wp:extent cx="5212080" cy="2479470"/>
            <wp:docPr id="5" name="Picture 5"/>
            <wp:cNvGraphicFramePr>
              <a:graphicFrameLocks noChangeAspect="1"/>
            </wp:cNvGraphicFramePr>
            <a:graphic>
              <a:graphicData uri="http://schemas.openxmlformats.org/drawingml/2006/picture">
                <pic:pic>
                  <pic:nvPicPr>
                    <pic:cNvPr id="0" name="Screenshot 2026-10-28 114311.png"/>
                    <pic:cNvPicPr/>
                  </pic:nvPicPr>
                  <pic:blipFill>
                    <a:blip r:embed="rId15"/>
                    <a:stretch>
                      <a:fillRect/>
                    </a:stretch>
                  </pic:blipFill>
                  <pic:spPr>
                    <a:xfrm>
                      <a:off x="0" y="0"/>
                      <a:ext cx="5212080" cy="2479470"/>
                    </a:xfrm>
                    <a:prstGeom prst="rect"/>
                  </pic:spPr>
                </pic:pic>
              </a:graphicData>
            </a:graphic>
          </wp:inline>
        </w:drawing>
      </w:r>
    </w:p>
    <w:p>
      <w:pPr>
        <w:spacing w:line="240" w:lineRule="auto" w:after="140"/>
        <w:jc w:val="center"/>
      </w:pPr>
      <w:r>
        <w:t>Figure 3. Worker1 details and the YARN verification command.</w:t>
      </w:r>
    </w:p>
    <w:p>
      <w:pPr>
        <w:jc w:val="both"/>
      </w:pPr>
      <w:r>
        <w:rPr>
          <w:b w:val="0"/>
        </w:rPr>
        <w:t>These captures document a cluster verification session. The selected analytical run separately records two DataNodes and two YARN workers in its dashboard evidence. A sample Pi job is used to verify MapReduce execution before the food analytics job; Pi is not a nutritional result.</w:t>
      </w:r>
    </w:p>
    <w:p>
      <w:r>
        <w:br w:type="page"/>
      </w:r>
    </w:p>
    <w:p>
      <w:pPr>
        <w:pStyle w:val="Heading1"/>
      </w:pPr>
      <w:r>
        <w:t>4. MongoDB Ingestion and Linkage</w:t>
      </w:r>
    </w:p>
    <w:p>
      <w:pPr>
        <w:jc w:val="both"/>
      </w:pPr>
      <w:r>
        <w:rPr>
          <w:b w:val="0"/>
        </w:rPr>
        <w:t>The subset uses raw_food, raw_food_nutrient and raw_nutrient as source collections. The derived foods collection links each food to an array of nutrient observations. The metadata collection records source identity, row counts, subset selection and import completion.</w:t>
      </w:r>
    </w:p>
    <w:p>
      <w:pPr>
        <w:spacing w:after="60"/>
        <w:jc w:val="center"/>
      </w:pPr>
      <w:r>
        <w:drawing>
          <wp:inline xmlns:a="http://schemas.openxmlformats.org/drawingml/2006/main" xmlns:pic="http://schemas.openxmlformats.org/drawingml/2006/picture">
            <wp:extent cx="5577840" cy="3574839"/>
            <wp:docPr id="6" name="Picture 6"/>
            <wp:cNvGraphicFramePr>
              <a:graphicFrameLocks noChangeAspect="1"/>
            </wp:cNvGraphicFramePr>
            <a:graphic>
              <a:graphicData uri="http://schemas.openxmlformats.org/drawingml/2006/picture">
                <pic:pic>
                  <pic:nvPicPr>
                    <pic:cNvPr id="0" name="Screenshot 2026-10-28 114119.png"/>
                    <pic:cNvPicPr/>
                  </pic:nvPicPr>
                  <pic:blipFill>
                    <a:blip r:embed="rId16"/>
                    <a:stretch>
                      <a:fillRect/>
                    </a:stretch>
                  </pic:blipFill>
                  <pic:spPr>
                    <a:xfrm>
                      <a:off x="0" y="0"/>
                      <a:ext cx="5577840" cy="3574839"/>
                    </a:xfrm>
                    <a:prstGeom prst="rect"/>
                  </pic:spPr>
                </pic:pic>
              </a:graphicData>
            </a:graphic>
          </wp:inline>
        </w:drawing>
      </w:r>
    </w:p>
    <w:p>
      <w:pPr>
        <w:spacing w:line="240" w:lineRule="auto" w:after="140"/>
        <w:jc w:val="center"/>
      </w:pPr>
      <w:r>
        <w:t>Figure 4. Original food documents and observations linked to the first food.</w:t>
      </w:r>
    </w:p>
    <w:p>
      <w:pPr>
        <w:jc w:val="both"/>
      </w:pPr>
      <w:r>
        <w:rPr>
          <w:b w:val="0"/>
        </w:rPr>
        <w:t>Food ID 1105904 is WESSON Vegetable Oil 1 GAL. Its preview includes polyunsaturated fatty acids (53.33 G), cholesterol (0 MG) and energy (867 KCAL). These are source observations, not grouped totals. The preview is explicitly labelled as captured later from a matching database; it does not alter the earlier benchmark.</w:t>
      </w:r>
    </w:p>
    <w:p>
      <w:r>
        <w:br w:type="page"/>
      </w:r>
    </w:p>
    <w:p>
      <w:pPr>
        <w:pStyle w:val="Heading1"/>
      </w:pPr>
      <w:r>
        <w:t>5. MongoDB Aggregation and Profiling</w:t>
      </w:r>
    </w:p>
    <w:p>
      <w:pPr>
        <w:spacing w:after="60"/>
        <w:jc w:val="center"/>
      </w:pPr>
      <w:r>
        <w:drawing>
          <wp:inline xmlns:a="http://schemas.openxmlformats.org/drawingml/2006/main" xmlns:pic="http://schemas.openxmlformats.org/drawingml/2006/picture">
            <wp:extent cx="5074920" cy="3995251"/>
            <wp:docPr id="7" name="Picture 7"/>
            <wp:cNvGraphicFramePr>
              <a:graphicFrameLocks noChangeAspect="1"/>
            </wp:cNvGraphicFramePr>
            <a:graphic>
              <a:graphicData uri="http://schemas.openxmlformats.org/drawingml/2006/picture">
                <pic:pic>
                  <pic:nvPicPr>
                    <pic:cNvPr id="0" name="Screenshot 2026-10-28 114134.png"/>
                    <pic:cNvPicPr/>
                  </pic:nvPicPr>
                  <pic:blipFill>
                    <a:blip r:embed="rId17"/>
                    <a:stretch>
                      <a:fillRect/>
                    </a:stretch>
                  </pic:blipFill>
                  <pic:spPr>
                    <a:xfrm>
                      <a:off x="0" y="0"/>
                      <a:ext cx="5074920" cy="3995251"/>
                    </a:xfrm>
                    <a:prstGeom prst="rect"/>
                  </pic:spPr>
                </pic:pic>
              </a:graphicData>
            </a:graphic>
          </wp:inline>
        </w:drawing>
      </w:r>
    </w:p>
    <w:p>
      <w:pPr>
        <w:spacing w:line="240" w:lineRule="auto" w:after="140"/>
        <w:jc w:val="center"/>
      </w:pPr>
      <w:r>
        <w:t>Figure 5. Linked food documents, aggregation results and faceted overview.</w:t>
      </w:r>
    </w:p>
    <w:p>
      <w:pPr>
        <w:spacing w:after="60"/>
        <w:jc w:val="center"/>
      </w:pPr>
      <w:r>
        <w:drawing>
          <wp:inline xmlns:a="http://schemas.openxmlformats.org/drawingml/2006/main" xmlns:pic="http://schemas.openxmlformats.org/drawingml/2006/picture">
            <wp:extent cx="5577840" cy="1501294"/>
            <wp:docPr id="8" name="Picture 8"/>
            <wp:cNvGraphicFramePr>
              <a:graphicFrameLocks noChangeAspect="1"/>
            </wp:cNvGraphicFramePr>
            <a:graphic>
              <a:graphicData uri="http://schemas.openxmlformats.org/drawingml/2006/picture">
                <pic:pic>
                  <pic:nvPicPr>
                    <pic:cNvPr id="0" name="Screenshot 2026-10-28 114142.png"/>
                    <pic:cNvPicPr/>
                  </pic:nvPicPr>
                  <pic:blipFill>
                    <a:blip r:embed="rId18"/>
                    <a:stretch>
                      <a:fillRect/>
                    </a:stretch>
                  </pic:blipFill>
                  <pic:spPr>
                    <a:xfrm>
                      <a:off x="0" y="0"/>
                      <a:ext cx="5577840" cy="1501294"/>
                    </a:xfrm>
                    <a:prstGeom prst="rect"/>
                  </pic:spPr>
                </pic:pic>
              </a:graphicData>
            </a:graphic>
          </wp:inline>
        </w:drawing>
      </w:r>
    </w:p>
    <w:p>
      <w:pPr>
        <w:spacing w:line="240" w:lineRule="auto" w:after="140"/>
        <w:jc w:val="center"/>
      </w:pPr>
      <w:r>
        <w:t>Figure 6. Five profiling repetitions per plan: collection scan versus index.</w:t>
      </w:r>
    </w:p>
    <w:p>
      <w:pPr>
        <w:jc w:val="both"/>
      </w:pPr>
      <w:r>
        <w:rPr>
          <w:b w:val="0"/>
        </w:rPr>
        <w:t>The pipelines use $match, $group, $project, $unwind and $facet. The protein example has 32,840 branded-food observations, total 242,187.06 G and mean 7.37476 G. The lookup examines 50,000 documents without the index and one with it. Median server times are 42 ms and 0 ms; zero is below timer resolution, not zero work.</w:t>
      </w:r>
    </w:p>
    <w:p>
      <w:r>
        <w:br w:type="page"/>
      </w:r>
    </w:p>
    <w:p>
      <w:pPr>
        <w:pStyle w:val="Heading1"/>
      </w:pPr>
      <w:r>
        <w:t>6. HDFS File Management</w:t>
      </w:r>
    </w:p>
    <w:p>
      <w:pPr>
        <w:jc w:val="both"/>
      </w:pPr>
      <w:r>
        <w:rPr>
          <w:b w:val="0"/>
        </w:rPr>
        <w:t>The 50,000-food run stores prepared input and analytical outputs under /user/root/fdc/realdev_1792244956898668695. The HDFS demonstration creates directories, uploads files, reads a probe, downloads and byte-checks it, then deletes only the temporary demo directory.</w:t>
      </w:r>
    </w:p>
    <w:p>
      <w:pPr>
        <w:spacing w:after="60"/>
        <w:jc w:val="center"/>
      </w:pPr>
      <w:r>
        <w:drawing>
          <wp:inline xmlns:a="http://schemas.openxmlformats.org/drawingml/2006/main" xmlns:pic="http://schemas.openxmlformats.org/drawingml/2006/picture">
            <wp:extent cx="5394960" cy="4563237"/>
            <wp:docPr id="9" name="Picture 9"/>
            <wp:cNvGraphicFramePr>
              <a:graphicFrameLocks noChangeAspect="1"/>
            </wp:cNvGraphicFramePr>
            <a:graphic>
              <a:graphicData uri="http://schemas.openxmlformats.org/drawingml/2006/picture">
                <pic:pic>
                  <pic:nvPicPr>
                    <pic:cNvPr id="0" name="Screenshot 2026-10-28 114153.png"/>
                    <pic:cNvPicPr/>
                  </pic:nvPicPr>
                  <pic:blipFill>
                    <a:blip r:embed="rId19"/>
                    <a:stretch>
                      <a:fillRect/>
                    </a:stretch>
                  </pic:blipFill>
                  <pic:spPr>
                    <a:xfrm>
                      <a:off x="0" y="0"/>
                      <a:ext cx="5394960" cy="4563237"/>
                    </a:xfrm>
                    <a:prstGeom prst="rect"/>
                  </pic:spPr>
                </pic:pic>
              </a:graphicData>
            </a:graphic>
          </wp:inline>
        </w:drawing>
      </w:r>
    </w:p>
    <w:p>
      <w:pPr>
        <w:spacing w:line="240" w:lineRule="auto" w:after="140"/>
        <w:jc w:val="center"/>
      </w:pPr>
      <w:r>
        <w:t>Figure 7. HDFS input samples and verified mkdir, put, cat, get and rm -r operations.</w:t>
      </w:r>
    </w:p>
    <w:p>
      <w:pPr>
        <w:jc w:val="both"/>
      </w:pPr>
      <w:r>
        <w:rPr>
          <w:b w:val="0"/>
        </w:rPr>
        <w:t>Prepared food and nutrient TSV files are retained as inputs. The mapreduce, pig_clean and hive_rc directories contain reducer output, Pig-cleaned rows and the converted Hive dataset. The adjacent commands inspect those stored files; merely viewing the dashboard does not repeat file operations.</w:t>
      </w:r>
    </w:p>
    <w:p>
      <w:r>
        <w:br w:type="page"/>
      </w:r>
    </w:p>
    <w:p>
      <w:pPr>
        <w:pStyle w:val="Heading1"/>
      </w:pPr>
      <w:r>
        <w:t>7. MapReduce Analytics on YARN</w:t>
      </w:r>
    </w:p>
    <w:p>
      <w:pPr>
        <w:jc w:val="both"/>
      </w:pPr>
      <w:r>
        <w:rPr>
          <w:b w:val="0"/>
        </w:rPr>
        <w:t>The Python Streaming mapper reads seven-field records, validates numeric amounts and excludes negative values. It emits a food-type/nutrient key with amount and count. Hadoop partitions and sorts the keys, and each reducer calculates observation count, total and mean without buffering the whole group.</w:t>
      </w:r>
    </w:p>
    <w:p>
      <w:pPr>
        <w:spacing w:after="60"/>
        <w:jc w:val="center"/>
      </w:pPr>
      <w:r>
        <w:drawing>
          <wp:inline xmlns:a="http://schemas.openxmlformats.org/drawingml/2006/main" xmlns:pic="http://schemas.openxmlformats.org/drawingml/2006/picture">
            <wp:extent cx="5577840" cy="3362369"/>
            <wp:docPr id="10" name="Picture 10"/>
            <wp:cNvGraphicFramePr>
              <a:graphicFrameLocks noChangeAspect="1"/>
            </wp:cNvGraphicFramePr>
            <a:graphic>
              <a:graphicData uri="http://schemas.openxmlformats.org/drawingml/2006/picture">
                <pic:pic>
                  <pic:nvPicPr>
                    <pic:cNvPr id="0" name="Screenshot 2026-10-28 114209.png"/>
                    <pic:cNvPicPr/>
                  </pic:nvPicPr>
                  <pic:blipFill>
                    <a:blip r:embed="rId20"/>
                    <a:stretch>
                      <a:fillRect/>
                    </a:stretch>
                  </pic:blipFill>
                  <pic:spPr>
                    <a:xfrm>
                      <a:off x="0" y="0"/>
                      <a:ext cx="5577840" cy="3362369"/>
                    </a:xfrm>
                    <a:prstGeom prst="rect"/>
                  </pic:spPr>
                </pic:pic>
              </a:graphicData>
            </a:graphic>
          </wp:inline>
        </w:drawing>
      </w:r>
    </w:p>
    <w:p>
      <w:pPr>
        <w:spacing w:line="240" w:lineRule="auto" w:after="140"/>
        <w:jc w:val="center"/>
      </w:pPr>
      <w:r>
        <w:t>Figure 8. Partial reducer output and recorded worker registration.</w:t>
      </w:r>
    </w:p>
    <w:p>
      <w:pPr>
        <w:jc w:val="both"/>
      </w:pPr>
      <w:r>
        <w:rPr>
          <w:b w:val="0"/>
        </w:rPr>
        <w:t>For branded_food / protein, MapReduce returns 32,840 observations, total approximately 242,187.06 and mean 7.37476. The screen rounds some numbers for readability; saved numeric outputs are compared using a floating-point tolerance.</w:t>
      </w:r>
    </w:p>
    <w:p>
      <w:pPr>
        <w:jc w:val="both"/>
      </w:pPr>
      <w:r>
        <w:rPr>
          <w:b w:val="0"/>
        </w:rPr>
        <w:t>Independent reference calculations and MongoDB aggregates are reconciled with the distributed output. This checks that the same records were used and that counts, sums and means agree. Two DataNodes and two YARN workers, worker1 and worker2, are recorded for the selected run.</w:t>
      </w:r>
    </w:p>
    <w:p>
      <w:r>
        <w:br w:type="page"/>
      </w:r>
    </w:p>
    <w:p>
      <w:pPr>
        <w:pStyle w:val="Heading1"/>
      </w:pPr>
      <w:r>
        <w:t>8. Pig Transformation and Hive Tables</w:t>
      </w:r>
    </w:p>
    <w:p>
      <w:pPr>
        <w:jc w:val="both"/>
      </w:pPr>
      <w:r>
        <w:rPr>
          <w:b w:val="0"/>
        </w:rPr>
        <w:t>Pig reads the prepared HDFS input independently of MapReduce. It keeps non-null food IDs, nutrient IDs, food types and nonnegative amounts. All 1,126,928 prepared observations remain after cleaning; zero negative values are excluded in this subset.</w:t>
      </w:r>
    </w:p>
    <w:p>
      <w:pPr>
        <w:spacing w:after="60"/>
        <w:jc w:val="center"/>
      </w:pPr>
      <w:r>
        <w:drawing>
          <wp:inline xmlns:a="http://schemas.openxmlformats.org/drawingml/2006/main" xmlns:pic="http://schemas.openxmlformats.org/drawingml/2006/picture">
            <wp:extent cx="5440680" cy="3856685"/>
            <wp:docPr id="11" name="Picture 11"/>
            <wp:cNvGraphicFramePr>
              <a:graphicFrameLocks noChangeAspect="1"/>
            </wp:cNvGraphicFramePr>
            <a:graphic>
              <a:graphicData uri="http://schemas.openxmlformats.org/drawingml/2006/picture">
                <pic:pic>
                  <pic:nvPicPr>
                    <pic:cNvPr id="0" name="Screenshot 2026-10-28 114219.png"/>
                    <pic:cNvPicPr/>
                  </pic:nvPicPr>
                  <pic:blipFill>
                    <a:blip r:embed="rId21"/>
                    <a:stretch>
                      <a:fillRect/>
                    </a:stretch>
                  </pic:blipFill>
                  <pic:spPr>
                    <a:xfrm>
                      <a:off x="0" y="0"/>
                      <a:ext cx="5440680" cy="3856685"/>
                    </a:xfrm>
                    <a:prstGeom prst="rect"/>
                  </pic:spPr>
                </pic:pic>
              </a:graphicData>
            </a:graphic>
          </wp:inline>
        </w:drawing>
      </w:r>
    </w:p>
    <w:p>
      <w:pPr>
        <w:spacing w:line="240" w:lineRule="auto" w:after="140"/>
        <w:jc w:val="center"/>
      </w:pPr>
      <w:r>
        <w:t>Figure 9. Pig accounting, equivalent Hive datasets and partial analytical results.</w:t>
      </w:r>
    </w:p>
    <w:p>
      <w:pPr>
        <w:jc w:val="both"/>
      </w:pPr>
      <w:r>
        <w:rPr>
          <w:b w:val="0"/>
        </w:rPr>
        <w:t>nutrients_text points to Pig’s tab-separated output; nutrients_rcfile stores the same rows in gzip-compressed RCFile format. These datasets are created once per processing run and reused. Query answers are saved separately as TSV files, with logs and benchmark metadata.</w:t>
      </w:r>
    </w:p>
    <w:p>
      <w:pPr>
        <w:jc w:val="both"/>
      </w:pPr>
      <w:r>
        <w:rPr>
          <w:b w:val="0"/>
        </w:rPr>
        <w:t>Two questions calculate COUNT, SUM and AVG by food type, nutrient ID and unit: an all-nutrient summary and a protein-only summary (ID 1003, unit G). Both run on both tables, once for warmup and once for measurement: eight executions in total.</w:t>
      </w:r>
    </w:p>
    <w:p>
      <w:r>
        <w:br w:type="page"/>
      </w:r>
    </w:p>
    <w:p>
      <w:pPr>
        <w:pStyle w:val="Heading1"/>
      </w:pPr>
      <w:r>
        <w:t>9. Hive Performance and Storage Results</w:t>
      </w:r>
    </w:p>
    <w:p>
      <w:pPr>
        <w:spacing w:after="60"/>
        <w:jc w:val="center"/>
      </w:pPr>
      <w:r>
        <w:drawing>
          <wp:inline xmlns:a="http://schemas.openxmlformats.org/drawingml/2006/main" xmlns:pic="http://schemas.openxmlformats.org/drawingml/2006/picture">
            <wp:extent cx="5577840" cy="2905749"/>
            <wp:docPr id="12" name="Picture 12"/>
            <wp:cNvGraphicFramePr>
              <a:graphicFrameLocks noChangeAspect="1"/>
            </wp:cNvGraphicFramePr>
            <a:graphic>
              <a:graphicData uri="http://schemas.openxmlformats.org/drawingml/2006/picture">
                <pic:pic>
                  <pic:nvPicPr>
                    <pic:cNvPr id="0" name="Screenshot 2026-10-28 114226.png"/>
                    <pic:cNvPicPr/>
                  </pic:nvPicPr>
                  <pic:blipFill>
                    <a:blip r:embed="rId22"/>
                    <a:stretch>
                      <a:fillRect/>
                    </a:stretch>
                  </pic:blipFill>
                  <pic:spPr>
                    <a:xfrm>
                      <a:off x="0" y="0"/>
                      <a:ext cx="5577840" cy="2905749"/>
                    </a:xfrm>
                    <a:prstGeom prst="rect"/>
                  </pic:spPr>
                </pic:pic>
              </a:graphicData>
            </a:graphic>
          </wp:inline>
        </w:drawing>
      </w:r>
    </w:p>
    <w:p>
      <w:pPr>
        <w:spacing w:line="240" w:lineRule="auto" w:after="140"/>
        <w:jc w:val="center"/>
      </w:pPr>
      <w:r>
        <w:t>Figure 10. Recorded query times and Text/RCFile storage measurements.</w:t>
      </w:r>
    </w:p>
    <w:p>
      <w:pPr>
        <w:jc w:val="both"/>
      </w:pPr>
      <w:r>
        <w:rPr>
          <w:b w:val="0"/>
        </w:rPr>
        <w:t>The all-nutrient query takes 66.24 s on Text and 64.22 s on RCFile. The protein query takes 64.91 s and 67.35 s respectively. There is one measured execution per question/table pair; warmups are excluded. Elapsed time includes Beeline startup and no cache flush is performed.</w:t>
      </w:r>
    </w:p>
    <w:p>
      <w:pPr>
        <w:jc w:val="center"/>
      </w:pPr>
      <w:r>
        <w:drawing>
          <wp:inline xmlns:a="http://schemas.openxmlformats.org/drawingml/2006/main" xmlns:pic="http://schemas.openxmlformats.org/drawingml/2006/picture">
            <wp:extent cx="4754880" cy="1901952"/>
            <wp:docPr id="13" name="Picture 13"/>
            <wp:cNvGraphicFramePr>
              <a:graphicFrameLocks noChangeAspect="1"/>
            </wp:cNvGraphicFramePr>
            <a:graphic>
              <a:graphicData uri="http://schemas.openxmlformats.org/drawingml/2006/picture">
                <pic:pic>
                  <pic:nvPicPr>
                    <pic:cNvPr id="0" name="hive_storage.png"/>
                    <pic:cNvPicPr/>
                  </pic:nvPicPr>
                  <pic:blipFill>
                    <a:blip r:embed="rId23"/>
                    <a:stretch>
                      <a:fillRect/>
                    </a:stretch>
                  </pic:blipFill>
                  <pic:spPr>
                    <a:xfrm>
                      <a:off x="0" y="0"/>
                      <a:ext cx="4754880" cy="1901952"/>
                    </a:xfrm>
                    <a:prstGeom prst="rect"/>
                  </pic:spPr>
                </pic:pic>
              </a:graphicData>
            </a:graphic>
          </wp:inline>
        </w:drawing>
      </w:r>
    </w:p>
    <w:p>
      <w:pPr>
        <w:spacing w:line="240" w:lineRule="auto" w:after="200"/>
        <w:jc w:val="center"/>
      </w:pPr>
      <w:r>
        <w:t>Figure 11. Logical storage for equivalent cleaned input (decimal MB).</w:t>
      </w:r>
    </w:p>
    <w:p>
      <w:pPr>
        <w:jc w:val="both"/>
      </w:pPr>
      <w:r>
        <w:rPr>
          <w:b w:val="0"/>
        </w:rPr>
        <w:t>Text occupies 67,081,701 logical bytes; RCFile occupies 6,622,922 bytes, approximately 90.13% less. Replicated sizes are twice these values. Both formats return matching answers. RCFile is slightly faster for one query and slower for the other, so this run supports storage savings rather than a consistent speed advantage.</w:t>
      </w:r>
    </w:p>
    <w:p>
      <w:r>
        <w:br w:type="page"/>
      </w:r>
    </w:p>
    <w:p>
      <w:pPr>
        <w:pStyle w:val="Heading1"/>
      </w:pPr>
      <w:r>
        <w:t>10. Conclusion and References</w:t>
      </w:r>
    </w:p>
    <w:p>
      <w:pPr>
        <w:jc w:val="both"/>
      </w:pPr>
      <w:r>
        <w:rPr>
          <w:b w:val="0"/>
        </w:rPr>
        <w:t>The implementation covers MongoDB ingestion, indexing and aggregation; HDFS file operations and YARN Streaming; Pig transformation; and Hive Text/RCFile comparison. The linked development dataset contains 50,000 foods and 1,126,928 nutrient observations. Saved evidence connects the inputs to the calculated answers and cross-system checks.</w:t>
      </w:r>
    </w:p>
    <w:p>
      <w:pPr>
        <w:jc w:val="both"/>
      </w:pPr>
      <w:r>
        <w:rPr>
          <w:b w:val="0"/>
        </w:rPr>
        <w:t>The index reduces documents examined from 50,000 to one. Hive returns matching results across formats, while gzip RCFile reduces logical storage by approximately 90.13%. Measured query times remain similar and vary by question. The workflow is presented through the Flask dashboard described in Assignment 2.</w:t>
      </w:r>
    </w:p>
    <w:p>
      <w:pPr>
        <w:pStyle w:val="Heading2"/>
      </w:pPr>
      <w:r>
        <w:t>References</w:t>
      </w:r>
    </w:p>
    <w:p>
      <w:pPr>
        <w:spacing w:line="264" w:lineRule="auto"/>
        <w:jc w:val="both"/>
      </w:pPr>
      <w:r>
        <w:rPr>
          <w:b w:val="0"/>
        </w:rPr>
        <w:t>1. USDA FoodData Central — Download Datasets. https://fdc.nal.usda.gov/download-datasets/</w:t>
      </w:r>
    </w:p>
    <w:p>
      <w:pPr>
        <w:spacing w:line="264" w:lineRule="auto"/>
        <w:jc w:val="both"/>
      </w:pPr>
      <w:r>
        <w:rPr>
          <w:b w:val="0"/>
        </w:rPr>
        <w:t>2. MongoDB — Aggregation Pipelines. https://www.mongodb.com/docs/manual/core/aggregation-pipeline/</w:t>
      </w:r>
    </w:p>
    <w:p>
      <w:pPr>
        <w:spacing w:line="264" w:lineRule="auto"/>
        <w:jc w:val="both"/>
      </w:pPr>
      <w:r>
        <w:rPr>
          <w:b w:val="0"/>
        </w:rPr>
        <w:t>3. Apache Hadoop — Cluster Setup. https://apache.github.io/hadoop/hadoop-project-dist/hadoop-common/ClusterSetup.html</w:t>
      </w:r>
    </w:p>
    <w:p>
      <w:pPr>
        <w:spacing w:line="264" w:lineRule="auto"/>
        <w:jc w:val="both"/>
      </w:pPr>
      <w:r>
        <w:rPr>
          <w:b w:val="0"/>
        </w:rPr>
        <w:t>4. Apache Pig 0.17 — Documentation. https://pig.apache.org/docs/r0.17.0/</w:t>
      </w:r>
    </w:p>
    <w:p>
      <w:pPr>
        <w:spacing w:line="264" w:lineRule="auto"/>
        <w:jc w:val="both"/>
      </w:pPr>
      <w:r>
        <w:rPr>
          <w:b w:val="0"/>
        </w:rPr>
        <w:t>5. Apache Hive — Language Manual. https://cwiki.apache.org/confluence/display/Hive/LanguageManual</w:t>
      </w:r>
    </w:p>
    <w:p>
      <w:pPr>
        <w:spacing w:line="264" w:lineRule="auto"/>
        <w:jc w:val="both"/>
      </w:pPr>
      <w:r>
        <w:rPr>
          <w:b w:val="0"/>
        </w:rPr>
        <w:t>6. Project source code. https://github.com/Dhanush-singh-g/BDA-Assignment</w:t>
      </w:r>
    </w:p>
    <w:sectPr w:rsidR="00FC693F" w:rsidRPr="0006063C" w:rsidSect="00034616">
      <w:headerReference w:type="default" r:id="rId9"/>
      <w:footerReference w:type="default" r:id="rId10"/>
      <w:pgSz w:w="11906" w:h="16838"/>
      <w:pgMar w:top="1191" w:right="1134" w:bottom="1134" w:left="1417" w:header="510" w:footer="51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t xml:space="preserve">Department of CSE, JSSATEB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line="240" w:lineRule="auto"/>
    </w:pPr>
    <w:r>
      <w:rPr>
        <w:sz w:val="24"/>
      </w:rPr>
      <w:t>Big Data Analytics [BCS714D]                       Assignment 1 — Track B</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40"/>
      <w:jc w:val="both"/>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6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160"/>
      <w:outlineLvl w:val="1"/>
    </w:pPr>
    <w:rPr>
      <w:rFonts w:asciiTheme="majorHAnsi" w:eastAsiaTheme="majorEastAsia" w:hAnsiTheme="majorHAnsi" w:cstheme="majorBidi"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Distributed Food and Nutrient Analytics Using MongoDB, Hadoop MapReduce, Pig and Hive</dc:title>
  <dc:subject/>
  <dc:creator>Abhishek R; Adithya V; Dhanush Singh G</dc:creator>
  <cp:keywords/>
  <dc:description>generated by python-docx</dc:description>
  <cp:lastModifiedBy/>
  <cp:revision>1</cp:revision>
  <dcterms:created xsi:type="dcterms:W3CDTF">2013-12-23T23:15:00Z</dcterms:created>
  <dcterms:modified xsi:type="dcterms:W3CDTF">2013-12-23T23:15:00Z</dcterms:modified>
  <cp:category/>
</cp:coreProperties>
</file>