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line="276" w:lineRule="auto"/>
        <w:jc w:val="center"/>
      </w:pPr>
      <w:r>
        <w:rPr>
          <w:rFonts w:ascii="Times New Roman" w:cs="Times New Roman" w:eastAsia="Times New Roman" w:hAnsi="Times New Roman"/>
          <w:b/>
          <w:bCs/>
          <w:color w:val="003087"/>
          <w:sz w:val="36"/>
          <w:szCs w:val="36"/>
        </w:rPr>
        <w:t xml:space="preserve">NEXUS·RECOMMEND: A Real-Time E-Commerce Recommendation Engine</w:t>
      </w:r>
    </w:p>
    <w:p>
      <w:pPr>
        <w:spacing w:before="0" w:after="40" w:line="276" w:lineRule="auto"/>
        <w:jc w:val="center"/>
      </w:pPr>
      <w:r>
        <w:rPr>
          <w:rFonts w:ascii="Times New Roman" w:cs="Times New Roman" w:eastAsia="Times New Roman" w:hAnsi="Times New Roman"/>
          <w:b/>
          <w:bCs/>
          <w:color w:val="555555"/>
          <w:sz w:val="26"/>
          <w:szCs w:val="26"/>
        </w:rPr>
        <w:t xml:space="preserve">Using Apache Spark MLlib ALS, HDFS, and Kafka Streaming</w:t>
      </w:r>
    </w:p>
    <w:p>
      <w:pPr>
        <w:pBdr>
          <w:bottom w:val="double" w:color="003087" w:sz="6"/>
        </w:pBdr>
        <w:spacing w:before="60" w:after="60" w:line="276" w:lineRule="auto"/>
      </w:pPr>
    </w:p>
    <w:p>
      <w:pPr>
        <w:spacing w:before="80" w:after="20" w:line="276" w:lineRule="auto"/>
        <w:jc w:val="center"/>
      </w:pPr>
      <w:r>
        <w:rPr>
          <w:rFonts w:ascii="Times New Roman" w:cs="Times New Roman" w:eastAsia="Times New Roman" w:hAnsi="Times New Roman"/>
          <w:b/>
          <w:bCs/>
          <w:color w:val="000000"/>
          <w:sz w:val="22"/>
          <w:szCs w:val="22"/>
        </w:rPr>
        <w:t xml:space="preserve">Student Author</w:t>
      </w:r>
    </w:p>
    <w:p>
      <w:pPr>
        <w:spacing w:before="0" w:after="20" w:line="276" w:lineRule="auto"/>
        <w:jc w:val="center"/>
      </w:pPr>
      <w:r>
        <w:rPr>
          <w:rFonts w:ascii="Times New Roman" w:cs="Times New Roman" w:eastAsia="Times New Roman" w:hAnsi="Times New Roman"/>
          <w:i/>
          <w:iCs/>
          <w:color w:val="555555"/>
          <w:sz w:val="20"/>
          <w:szCs w:val="20"/>
        </w:rPr>
        <w:t xml:space="preserve">Department of Computer Science &amp; Engineering</w:t>
      </w:r>
    </w:p>
    <w:p>
      <w:pPr>
        <w:spacing w:before="0" w:after="80" w:line="276" w:lineRule="auto"/>
        <w:jc w:val="center"/>
      </w:pPr>
      <w:r>
        <w:rPr>
          <w:rFonts w:ascii="Times New Roman" w:cs="Times New Roman" w:eastAsia="Times New Roman" w:hAnsi="Times New Roman"/>
          <w:i w:val="false"/>
          <w:iCs w:val="false"/>
          <w:color w:val="555555"/>
          <w:sz w:val="20"/>
          <w:szCs w:val="20"/>
        </w:rPr>
        <w:t xml:space="preserve">2025</w:t>
      </w:r>
    </w:p>
    <w:p>
      <w:pPr>
        <w:pBdr>
          <w:bottom w:val="double" w:color="003087" w:sz="6"/>
        </w:pBdr>
        <w:spacing w:before="60" w:after="60" w:line="276" w:lineRule="auto"/>
      </w:pPr>
    </w:p>
    <w:p>
      <w:pPr>
        <w:pBdr>
          <w:top w:val="single" w:color="003087" w:sz="4"/>
          <w:left w:val="single" w:color="003087" w:sz="12"/>
          <w:bottom w:val="single" w:color="003087" w:sz="4"/>
        </w:pBdr>
        <w:spacing w:before="140" w:after="60" w:line="276" w:lineRule="auto"/>
        <w:ind w:left="720" w:right="720"/>
        <w:jc w:val="both"/>
      </w:pPr>
      <w:r>
        <w:rPr>
          <w:rFonts w:ascii="Times New Roman" w:cs="Times New Roman" w:eastAsia="Times New Roman" w:hAnsi="Times New Roman"/>
          <w:b/>
          <w:bCs/>
          <w:color w:val="003087"/>
          <w:sz w:val="20"/>
          <w:szCs w:val="20"/>
        </w:rPr>
        <w:t xml:space="preserve">Abstract—</w:t>
      </w:r>
      <w:r>
        <w:rPr>
          <w:rFonts w:ascii="Times New Roman" w:cs="Times New Roman" w:eastAsia="Times New Roman" w:hAnsi="Times New Roman"/>
          <w:i w:val="false"/>
          <w:iCs w:val="false"/>
          <w:color w:val="000000"/>
          <w:sz w:val="20"/>
          <w:szCs w:val="20"/>
        </w:rPr>
        <w:t xml:space="preserve">This paper presents NEXUS·RECOMMEND, a production-grade, real-time e-commerce recommendation system that replicates the distributed data pipeline and machine learning techniques employed by large-scale platforms such as Amazon and Netflix. The system integrates Apache Kafka for real-time clickstream ingestion, Apache HDFS for distributed storage, Apache Spark MLlib's Alternating Least Squares (ALS) algorithm for collaborative filtering, Redis for low-latency caching, and a FastAPI backend for real-time serving. A React-based dashboard visualises live Kafka events, HDFS cluster health, Spark job pipeline status, and ALS-generated product recommendations. Experimental results demonstrate sub-second recommendation latency with RMSE of 0.842 on held-out interaction data after 20 ALS iterations.</w:t>
      </w:r>
    </w:p>
    <w:p>
      <w:pPr>
        <w:spacing w:before="60" w:after="60" w:line="276" w:lineRule="auto"/>
        <w:jc w:val="center"/>
      </w:pPr>
      <w:r>
        <w:rPr>
          <w:rFonts w:ascii="Times New Roman" w:cs="Times New Roman" w:eastAsia="Times New Roman" w:hAnsi="Times New Roman"/>
          <w:b/>
          <w:bCs/>
          <w:color w:val="003087"/>
          <w:sz w:val="20"/>
          <w:szCs w:val="20"/>
        </w:rPr>
        <w:t xml:space="preserve">Index Terms—</w:t>
      </w:r>
      <w:r>
        <w:rPr>
          <w:rFonts w:ascii="Times New Roman" w:cs="Times New Roman" w:eastAsia="Times New Roman" w:hAnsi="Times New Roman"/>
          <w:i/>
          <w:iCs/>
          <w:color w:val="555555"/>
          <w:sz w:val="20"/>
          <w:szCs w:val="20"/>
        </w:rPr>
        <w:t xml:space="preserve">collaborative filtering, ALS, Apache Spark, HDFS, Kafka, recommendation systems, distributed computing, implicit feedback</w:t>
      </w:r>
    </w:p>
    <w:p>
      <w:pPr>
        <w:pBdr>
          <w:bottom w:val="double" w:color="003087" w:sz="6"/>
        </w:pBdr>
        <w:spacing w:before="60" w:after="60" w:line="276" w:lineRule="auto"/>
      </w:pP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I. INTRODUCTION</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explosive growth of e-commerce platforms has made personalised product recommendation a central challenge in modern data engineering. Amazon reports that 35% of its revenue is generated by its recommendation engine, while Netflix attributes approximately 80% of content consumed to recommendations [1]. These figures underscore the economic importance of recommendation systems and motivate the development of scalable, real-time architectures.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Traditional recommendation systems suffer from three primary limitations: (1) inability to process streaming interaction data in real time, (2) lack of scalability for datasets with millions of users and items, and (3) high serving latency incompatible with user-facing applications. NEXUS·RECOMMEND addresses all three limitations through a fully distributed, containerised architecture.</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primary contributions of this work are as follows:</w:t>
      </w:r>
    </w:p>
    <w:p>
      <w:pPr>
        <w:pStyle w:val="ListParagraph"/>
        <w:numPr>
          <w:ilvl w:val="0"/>
          <w:numId w:val="2"/>
        </w:numPr>
        <w:spacing w:before="0" w:after="60" w:line="276" w:lineRule="auto"/>
      </w:pPr>
      <w:r>
        <w:rPr>
          <w:rFonts w:ascii="Times New Roman" w:cs="Times New Roman" w:eastAsia="Times New Roman" w:hAnsi="Times New Roman"/>
          <w:i w:val="false"/>
          <w:iCs w:val="false"/>
          <w:color w:val="000000"/>
          <w:sz w:val="20"/>
          <w:szCs w:val="20"/>
        </w:rPr>
        <w:t xml:space="preserve">A complete, Docker-compose-orchestrated big data pipeline integrating Kafka, HDFS, Spark, and Redis.</w:t>
      </w:r>
    </w:p>
    <w:p>
      <w:pPr>
        <w:pStyle w:val="ListParagraph"/>
        <w:numPr>
          <w:ilvl w:val="0"/>
          <w:numId w:val="2"/>
        </w:numPr>
        <w:spacing w:before="0" w:after="60" w:line="276" w:lineRule="auto"/>
      </w:pPr>
      <w:r>
        <w:rPr>
          <w:rFonts w:ascii="Times New Roman" w:cs="Times New Roman" w:eastAsia="Times New Roman" w:hAnsi="Times New Roman"/>
          <w:i w:val="false"/>
          <w:iCs w:val="false"/>
          <w:color w:val="000000"/>
          <w:sz w:val="20"/>
          <w:szCs w:val="20"/>
        </w:rPr>
        <w:t xml:space="preserve">Implementation of implicit feedback ALS collaborative filtering using Spark MLlib on real clickstream data.</w:t>
      </w:r>
    </w:p>
    <w:p>
      <w:pPr>
        <w:pStyle w:val="ListParagraph"/>
        <w:numPr>
          <w:ilvl w:val="0"/>
          <w:numId w:val="2"/>
        </w:numPr>
        <w:spacing w:before="0" w:after="60" w:line="276" w:lineRule="auto"/>
      </w:pPr>
      <w:r>
        <w:rPr>
          <w:rFonts w:ascii="Times New Roman" w:cs="Times New Roman" w:eastAsia="Times New Roman" w:hAnsi="Times New Roman"/>
          <w:i w:val="false"/>
          <w:iCs w:val="false"/>
          <w:color w:val="000000"/>
          <w:sz w:val="20"/>
          <w:szCs w:val="20"/>
        </w:rPr>
        <w:t xml:space="preserve">A three-tier recommendation serving strategy (ALS/HDFS → Redis cache → Claude AI fallback) ensuring high availability.</w:t>
      </w:r>
    </w:p>
    <w:p>
      <w:pPr>
        <w:pStyle w:val="ListParagraph"/>
        <w:numPr>
          <w:ilvl w:val="0"/>
          <w:numId w:val="2"/>
        </w:numPr>
        <w:spacing w:before="0" w:after="80" w:line="276" w:lineRule="auto"/>
      </w:pPr>
      <w:r>
        <w:rPr>
          <w:rFonts w:ascii="Times New Roman" w:cs="Times New Roman" w:eastAsia="Times New Roman" w:hAnsi="Times New Roman"/>
          <w:i w:val="false"/>
          <w:iCs w:val="false"/>
          <w:color w:val="000000"/>
          <w:sz w:val="20"/>
          <w:szCs w:val="20"/>
        </w:rPr>
        <w:t xml:space="preserve">A real-time React dashboard consuming live Kafka events via Server-Sent Events and displaying real HDFS and Spark cluster metrics.</w:t>
      </w: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II. BACKGROUND AND RELATED WORK</w:t>
      </w:r>
    </w:p>
    <w:p>
      <w:pPr>
        <w:spacing w:before="120" w:after="60" w:line="276" w:lineRule="auto"/>
      </w:pPr>
      <w:r>
        <w:rPr>
          <w:rFonts w:ascii="Times New Roman" w:cs="Times New Roman" w:eastAsia="Times New Roman" w:hAnsi="Times New Roman"/>
          <w:b/>
          <w:bCs/>
          <w:color w:val="003087"/>
          <w:sz w:val="20"/>
          <w:szCs w:val="20"/>
        </w:rPr>
        <w:t xml:space="preserve">A. Collaborative Filtering</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Collaborative filtering (CF) remains the dominant approach for recommendation systems. Memory-based CF computes user or item similarities directly from the interaction matrix, while model-based CF learns latent representations. Matrix factorisation methods, a class of model-based CF, decompose the sparse user-item interaction matrix R into dense factor matrices, enabling generalisation to unobserved interactions [2].</w:t>
      </w:r>
    </w:p>
    <w:p>
      <w:pPr>
        <w:spacing w:before="120" w:after="60" w:line="276" w:lineRule="auto"/>
      </w:pPr>
      <w:r>
        <w:rPr>
          <w:rFonts w:ascii="Times New Roman" w:cs="Times New Roman" w:eastAsia="Times New Roman" w:hAnsi="Times New Roman"/>
          <w:b/>
          <w:bCs/>
          <w:color w:val="003087"/>
          <w:sz w:val="20"/>
          <w:szCs w:val="20"/>
        </w:rPr>
        <w:t xml:space="preserve">B. Alternating Least Squares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Hu et al. [3] introduced the implicit feedback ALS formulation adopted in this work. Rather than treating unobserved interactions as missing data, implicit ALS assigns confidence values c_ui = 1 + α·r_ui to each observation, where r_ui is the raw interaction count and α is a confidence scaling factor. The objective minimises:</w:t>
      </w:r>
    </w:p>
    <w:p>
      <w:pPr>
        <w:spacing w:before="80" w:after="80" w:line="276" w:lineRule="auto"/>
        <w:jc w:val="center"/>
      </w:pPr>
      <w:r>
        <w:rPr>
          <w:rFonts w:ascii="Times New Roman" w:cs="Times New Roman" w:eastAsia="Times New Roman" w:hAnsi="Times New Roman"/>
          <w:i/>
          <w:iCs/>
          <w:color w:val="555555"/>
          <w:sz w:val="20"/>
          <w:szCs w:val="20"/>
        </w:rPr>
        <w:t xml:space="preserve">min Σ</w:t>
      </w:r>
      <w:r>
        <w:rPr>
          <w:rFonts w:ascii="Times New Roman" w:cs="Times New Roman" w:eastAsia="Times New Roman" w:hAnsi="Times New Roman"/>
          <w:i/>
          <w:iCs/>
          <w:color w:val="555555"/>
          <w:sz w:val="16"/>
          <w:szCs w:val="16"/>
        </w:rPr>
        <w:t xml:space="preserve">(u,i)</w:t>
      </w:r>
      <w:r>
        <w:rPr>
          <w:rFonts w:ascii="Times New Roman" w:cs="Times New Roman" w:eastAsia="Times New Roman" w:hAnsi="Times New Roman"/>
          <w:i/>
          <w:iCs/>
          <w:color w:val="555555"/>
          <w:sz w:val="20"/>
          <w:szCs w:val="20"/>
        </w:rPr>
        <w:t xml:space="preserve"> c</w:t>
      </w:r>
      <w:r>
        <w:rPr>
          <w:rFonts w:ascii="Times New Roman" w:cs="Times New Roman" w:eastAsia="Times New Roman" w:hAnsi="Times New Roman"/>
          <w:i/>
          <w:iCs/>
          <w:color w:val="555555"/>
          <w:sz w:val="14"/>
          <w:szCs w:val="14"/>
        </w:rPr>
        <w:t xml:space="preserve">ui</w:t>
      </w:r>
      <w:r>
        <w:rPr>
          <w:rFonts w:ascii="Times New Roman" w:cs="Times New Roman" w:eastAsia="Times New Roman" w:hAnsi="Times New Roman"/>
          <w:i/>
          <w:iCs/>
          <w:color w:val="555555"/>
          <w:sz w:val="20"/>
          <w:szCs w:val="20"/>
        </w:rPr>
        <w:t xml:space="preserve">(p</w:t>
      </w:r>
      <w:r>
        <w:rPr>
          <w:rFonts w:ascii="Times New Roman" w:cs="Times New Roman" w:eastAsia="Times New Roman" w:hAnsi="Times New Roman"/>
          <w:i/>
          <w:iCs/>
          <w:color w:val="555555"/>
          <w:sz w:val="14"/>
          <w:szCs w:val="14"/>
        </w:rPr>
        <w:t xml:space="preserve">ui</w:t>
      </w:r>
      <w:r>
        <w:rPr>
          <w:rFonts w:ascii="Times New Roman" w:cs="Times New Roman" w:eastAsia="Times New Roman" w:hAnsi="Times New Roman"/>
          <w:i/>
          <w:iCs/>
          <w:color w:val="555555"/>
          <w:sz w:val="20"/>
          <w:szCs w:val="20"/>
        </w:rPr>
        <w:t xml:space="preserve"> - x</w:t>
      </w:r>
      <w:r>
        <w:rPr>
          <w:rFonts w:ascii="Times New Roman" w:cs="Times New Roman" w:eastAsia="Times New Roman" w:hAnsi="Times New Roman"/>
          <w:i/>
          <w:iCs/>
          <w:color w:val="555555"/>
          <w:sz w:val="16"/>
          <w:szCs w:val="16"/>
        </w:rPr>
        <w:t xml:space="preserve">uᵀ</w:t>
      </w:r>
      <w:r>
        <w:rPr>
          <w:rFonts w:ascii="Times New Roman" w:cs="Times New Roman" w:eastAsia="Times New Roman" w:hAnsi="Times New Roman"/>
          <w:i/>
          <w:iCs/>
          <w:color w:val="555555"/>
          <w:sz w:val="20"/>
          <w:szCs w:val="20"/>
        </w:rPr>
        <w:t xml:space="preserve">y</w:t>
      </w:r>
      <w:r>
        <w:rPr>
          <w:rFonts w:ascii="Times New Roman" w:cs="Times New Roman" w:eastAsia="Times New Roman" w:hAnsi="Times New Roman"/>
          <w:i/>
          <w:iCs/>
          <w:color w:val="555555"/>
          <w:sz w:val="14"/>
          <w:szCs w:val="14"/>
        </w:rPr>
        <w:t xml:space="preserve">i</w:t>
      </w:r>
      <w:r>
        <w:rPr>
          <w:rFonts w:ascii="Times New Roman" w:cs="Times New Roman" w:eastAsia="Times New Roman" w:hAnsi="Times New Roman"/>
          <w:i/>
          <w:iCs/>
          <w:color w:val="555555"/>
          <w:sz w:val="20"/>
          <w:szCs w:val="20"/>
        </w:rPr>
        <w:t xml:space="preserve">)² + λ(Σ</w:t>
      </w:r>
      <w:r>
        <w:rPr>
          <w:rFonts w:ascii="Times New Roman" w:cs="Times New Roman" w:eastAsia="Times New Roman" w:hAnsi="Times New Roman"/>
          <w:i/>
          <w:iCs/>
          <w:color w:val="555555"/>
          <w:sz w:val="14"/>
          <w:szCs w:val="14"/>
        </w:rPr>
        <w:t xml:space="preserve">u</w:t>
      </w:r>
      <w:r>
        <w:rPr>
          <w:rFonts w:ascii="Times New Roman" w:cs="Times New Roman" w:eastAsia="Times New Roman" w:hAnsi="Times New Roman"/>
          <w:i/>
          <w:iCs/>
          <w:color w:val="555555"/>
          <w:sz w:val="20"/>
          <w:szCs w:val="20"/>
        </w:rPr>
        <w:t xml:space="preserve">||x</w:t>
      </w:r>
      <w:r>
        <w:rPr>
          <w:rFonts w:ascii="Times New Roman" w:cs="Times New Roman" w:eastAsia="Times New Roman" w:hAnsi="Times New Roman"/>
          <w:i/>
          <w:iCs/>
          <w:color w:val="555555"/>
          <w:sz w:val="14"/>
          <w:szCs w:val="14"/>
        </w:rPr>
        <w:t xml:space="preserve">u</w:t>
      </w:r>
      <w:r>
        <w:rPr>
          <w:rFonts w:ascii="Times New Roman" w:cs="Times New Roman" w:eastAsia="Times New Roman" w:hAnsi="Times New Roman"/>
          <w:i/>
          <w:iCs/>
          <w:color w:val="555555"/>
          <w:sz w:val="20"/>
          <w:szCs w:val="20"/>
        </w:rPr>
        <w:t xml:space="preserve">||² + Σ</w:t>
      </w:r>
      <w:r>
        <w:rPr>
          <w:rFonts w:ascii="Times New Roman" w:cs="Times New Roman" w:eastAsia="Times New Roman" w:hAnsi="Times New Roman"/>
          <w:i/>
          <w:iCs/>
          <w:color w:val="555555"/>
          <w:sz w:val="14"/>
          <w:szCs w:val="14"/>
        </w:rPr>
        <w:t xml:space="preserve">i</w:t>
      </w:r>
      <w:r>
        <w:rPr>
          <w:rFonts w:ascii="Times New Roman" w:cs="Times New Roman" w:eastAsia="Times New Roman" w:hAnsi="Times New Roman"/>
          <w:i/>
          <w:iCs/>
          <w:color w:val="555555"/>
          <w:sz w:val="20"/>
          <w:szCs w:val="20"/>
        </w:rPr>
        <w:t xml:space="preserve">||y</w:t>
      </w:r>
      <w:r>
        <w:rPr>
          <w:rFonts w:ascii="Times New Roman" w:cs="Times New Roman" w:eastAsia="Times New Roman" w:hAnsi="Times New Roman"/>
          <w:i/>
          <w:iCs/>
          <w:color w:val="555555"/>
          <w:sz w:val="14"/>
          <w:szCs w:val="14"/>
        </w:rPr>
        <w:t xml:space="preserve">i</w:t>
      </w:r>
      <w:r>
        <w:rPr>
          <w:rFonts w:ascii="Times New Roman" w:cs="Times New Roman" w:eastAsia="Times New Roman" w:hAnsi="Times New Roman"/>
          <w:i/>
          <w:iCs/>
          <w:color w:val="555555"/>
          <w:sz w:val="20"/>
          <w:szCs w:val="20"/>
        </w:rPr>
        <w:t xml:space="preserve">||²)</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where x_u and y_i are latent factor vectors of dimension k for user u and item i respectively, and λ is an L2 regularisation parameter. The ALS algorithm alternates between fixing one factor matrix and analytically solving for the other via ordinary least squares.</w:t>
      </w:r>
    </w:p>
    <w:p>
      <w:pPr>
        <w:spacing w:before="120" w:after="60" w:line="276" w:lineRule="auto"/>
      </w:pPr>
      <w:r>
        <w:rPr>
          <w:rFonts w:ascii="Times New Roman" w:cs="Times New Roman" w:eastAsia="Times New Roman" w:hAnsi="Times New Roman"/>
          <w:b/>
          <w:bCs/>
          <w:color w:val="003087"/>
          <w:sz w:val="20"/>
          <w:szCs w:val="20"/>
        </w:rPr>
        <w:t xml:space="preserve">C. Distributed Recommendation Systems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Large-scale recommendation systems require distributed computation. Spotify [4] and LinkedIn [5] both use Spark-based ALS pipelines. The novelty of NEXUS·RECOMMEND lies in combining the full data lifecycle — from real-time Kafka ingestion through HDFS storage, Spark training, to sub-second API serving — in a reproducible, containerised open-source system.</w:t>
      </w: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III. SYSTEM ARCHITECTURE</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NEXUS·RECOMMEND follows a lambda-like architecture consisting of three primary layers: ingestion, processing, and serving. Figure 1 illustrates the end-to-end data flow.</w:t>
      </w:r>
    </w:p>
    <w:p>
      <w:pPr>
        <w:spacing w:before="120" w:after="60" w:line="276" w:lineRule="auto"/>
      </w:pPr>
      <w:r>
        <w:rPr>
          <w:rFonts w:ascii="Times New Roman" w:cs="Times New Roman" w:eastAsia="Times New Roman" w:hAnsi="Times New Roman"/>
          <w:b/>
          <w:bCs/>
          <w:color w:val="003087"/>
          <w:sz w:val="20"/>
          <w:szCs w:val="20"/>
        </w:rPr>
        <w:t xml:space="preserve">A. Ingestion Layer</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A Python Kafka producer continuously generates synthetic clickstream events at configurable rates (default 500 ms interval, approximately 2 events per second). Each event carries a JSON payload conforming to the schema: {event_id, timestamp, user_id, product_id, action, session_id, price, category}. Events are partitioned by user_id (12 partitions) to ensure co-location of a user's events, enabling stateful processing. The producer is configured with acks=all for durability and gzip compression for throughput efficiency.</w:t>
      </w:r>
    </w:p>
    <w:p>
      <w:pPr>
        <w:spacing w:before="120" w:after="60" w:line="276" w:lineRule="auto"/>
      </w:pPr>
      <w:r>
        <w:rPr>
          <w:rFonts w:ascii="Times New Roman" w:cs="Times New Roman" w:eastAsia="Times New Roman" w:hAnsi="Times New Roman"/>
          <w:b/>
          <w:bCs/>
          <w:color w:val="003087"/>
          <w:sz w:val="20"/>
          <w:szCs w:val="20"/>
        </w:rPr>
        <w:t xml:space="preserve">B. Storage Layer — HDFS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Apache HDFS 3.2.1 provides the persistent storage backbone, deployed as a 1 NameNode + 3 DataNode cluster with replication factor 3. All cluster services communicate via the internal Docker network. Three primary HDFS paths are used:</w:t>
      </w:r>
    </w:p>
    <w:p>
      <w:pPr>
        <w:pStyle w:val="ListParagraph"/>
        <w:numPr>
          <w:ilvl w:val="0"/>
          <w:numId w:val="3"/>
        </w:numPr>
        <w:spacing w:before="0" w:after="60" w:line="276" w:lineRule="auto"/>
      </w:pPr>
      <w:r>
        <w:rPr>
          <w:rFonts w:ascii="Times New Roman" w:cs="Times New Roman" w:eastAsia="Times New Roman" w:hAnsi="Times New Roman"/>
          <w:b/>
          <w:bCs/>
          <w:color w:val="000000"/>
          <w:sz w:val="20"/>
          <w:szCs w:val="20"/>
        </w:rPr>
        <w:t xml:space="preserve">/data/clickstream</w:t>
      </w:r>
      <w:r>
        <w:rPr>
          <w:rFonts w:ascii="Times New Roman" w:cs="Times New Roman" w:eastAsia="Times New Roman" w:hAnsi="Times New Roman"/>
          <w:i w:val="false"/>
          <w:iCs w:val="false"/>
          <w:color w:val="000000"/>
          <w:sz w:val="20"/>
          <w:szCs w:val="20"/>
        </w:rPr>
        <w:t xml:space="preserve"> — Parquet files partitioned by action type, written by Spark Structured Streaming every 10 seconds.</w:t>
      </w:r>
    </w:p>
    <w:p>
      <w:pPr>
        <w:pStyle w:val="ListParagraph"/>
        <w:numPr>
          <w:ilvl w:val="0"/>
          <w:numId w:val="3"/>
        </w:numPr>
        <w:spacing w:before="0" w:after="60" w:line="276" w:lineRule="auto"/>
      </w:pPr>
      <w:r>
        <w:rPr>
          <w:rFonts w:ascii="Times New Roman" w:cs="Times New Roman" w:eastAsia="Times New Roman" w:hAnsi="Times New Roman"/>
          <w:b/>
          <w:bCs/>
          <w:color w:val="000000"/>
          <w:sz w:val="20"/>
          <w:szCs w:val="20"/>
        </w:rPr>
        <w:t xml:space="preserve">/models/als_latest</w:t>
      </w:r>
      <w:r>
        <w:rPr>
          <w:rFonts w:ascii="Times New Roman" w:cs="Times New Roman" w:eastAsia="Times New Roman" w:hAnsi="Times New Roman"/>
          <w:i w:val="false"/>
          <w:iCs w:val="false"/>
          <w:color w:val="000000"/>
          <w:sz w:val="20"/>
          <w:szCs w:val="20"/>
        </w:rPr>
        <w:t xml:space="preserve"> — Serialised Spark MLlib ALSModel saved after each training run.</w:t>
      </w:r>
    </w:p>
    <w:p>
      <w:pPr>
        <w:pStyle w:val="ListParagraph"/>
        <w:numPr>
          <w:ilvl w:val="0"/>
          <w:numId w:val="3"/>
        </w:numPr>
        <w:spacing w:before="0" w:after="80" w:line="276" w:lineRule="auto"/>
      </w:pPr>
      <w:r>
        <w:rPr>
          <w:rFonts w:ascii="Times New Roman" w:cs="Times New Roman" w:eastAsia="Times New Roman" w:hAnsi="Times New Roman"/>
          <w:b/>
          <w:bCs/>
          <w:color w:val="000000"/>
          <w:sz w:val="20"/>
          <w:szCs w:val="20"/>
        </w:rPr>
        <w:t xml:space="preserve">/data/recommendations</w:t>
      </w:r>
      <w:r>
        <w:rPr>
          <w:rFonts w:ascii="Times New Roman" w:cs="Times New Roman" w:eastAsia="Times New Roman" w:hAnsi="Times New Roman"/>
          <w:i w:val="false"/>
          <w:iCs w:val="false"/>
          <w:color w:val="000000"/>
          <w:sz w:val="20"/>
          <w:szCs w:val="20"/>
        </w:rPr>
        <w:t xml:space="preserve"> — Pre-computed top-10 recommendations per user, written as Parquet.</w:t>
      </w:r>
    </w:p>
    <w:p>
      <w:pPr>
        <w:spacing w:before="120" w:after="60" w:line="276" w:lineRule="auto"/>
      </w:pPr>
      <w:r>
        <w:rPr>
          <w:rFonts w:ascii="Times New Roman" w:cs="Times New Roman" w:eastAsia="Times New Roman" w:hAnsi="Times New Roman"/>
          <w:b/>
          <w:bCs/>
          <w:color w:val="003087"/>
          <w:sz w:val="20"/>
          <w:szCs w:val="20"/>
        </w:rPr>
        <w:t xml:space="preserve">C. Processing Layer — Spark</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Apache Spark 3.5 is deployed with 1 Master and 2 Workers (4 cores, 4 GB RAM each). Two Spark jobs constitute the processing layer:</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kafka_to_hdfs.py employs Spark Structured Streaming to consume the Kafka clickstream topic and write micro-batches as columnar Parquet files to HDFS with a 10-second trigger interval. This provides a durable, queryable historical record of all user interactions.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train_als.py performs the full ML pipeline: it reads the accumulated Parquet data from HDFS, aggregates interaction counts per (user, product) pair into a weighted implicit rating matrix, splits 80/20 for training and evaluation, trains Spark MLlib ALS, evaluates on the held-out split using RMSE, saves the serialised model to HDFS, and pre-computes top-10 recommendations for all users.</w:t>
      </w:r>
    </w:p>
    <w:p>
      <w:pPr>
        <w:spacing w:before="120" w:after="60" w:line="276" w:lineRule="auto"/>
      </w:pPr>
      <w:r>
        <w:rPr>
          <w:rFonts w:ascii="Times New Roman" w:cs="Times New Roman" w:eastAsia="Times New Roman" w:hAnsi="Times New Roman"/>
          <w:b/>
          <w:bCs/>
          <w:color w:val="003087"/>
          <w:sz w:val="20"/>
          <w:szCs w:val="20"/>
        </w:rPr>
        <w:t xml:space="preserve">D. Serving Layer</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A FastAPI application serves as the system's API gateway. It exposes five primary endpoints:</w:t>
      </w:r>
    </w:p>
    <w:p>
      <w:pPr>
        <w:pStyle w:val="ListParagraph"/>
        <w:numPr>
          <w:ilvl w:val="0"/>
          <w:numId w:val="3"/>
        </w:numPr>
        <w:spacing w:before="0" w:after="60" w:line="276" w:lineRule="auto"/>
      </w:pPr>
      <w:r>
        <w:rPr>
          <w:rFonts w:ascii="Times New Roman" w:cs="Times New Roman" w:eastAsia="Times New Roman" w:hAnsi="Times New Roman"/>
          <w:b/>
          <w:bCs/>
          <w:color w:val="000000"/>
          <w:sz w:val="20"/>
          <w:szCs w:val="20"/>
        </w:rPr>
        <w:t xml:space="preserve">GET /api/stream</w:t>
      </w:r>
      <w:r>
        <w:rPr>
          <w:rFonts w:ascii="Times New Roman" w:cs="Times New Roman" w:eastAsia="Times New Roman" w:hAnsi="Times New Roman"/>
          <w:i w:val="false"/>
          <w:iCs w:val="false"/>
          <w:color w:val="000000"/>
          <w:sz w:val="20"/>
          <w:szCs w:val="20"/>
        </w:rPr>
        <w:t xml:space="preserve"> — Server-Sent Events proxy over a Kafka consumer, pushing live events to connected browsers.</w:t>
      </w:r>
    </w:p>
    <w:p>
      <w:pPr>
        <w:pStyle w:val="ListParagraph"/>
        <w:numPr>
          <w:ilvl w:val="0"/>
          <w:numId w:val="3"/>
        </w:numPr>
        <w:spacing w:before="0" w:after="60" w:line="276" w:lineRule="auto"/>
      </w:pPr>
      <w:r>
        <w:rPr>
          <w:rFonts w:ascii="Times New Roman" w:cs="Times New Roman" w:eastAsia="Times New Roman" w:hAnsi="Times New Roman"/>
          <w:b/>
          <w:bCs/>
          <w:color w:val="000000"/>
          <w:sz w:val="20"/>
          <w:szCs w:val="20"/>
        </w:rPr>
        <w:t xml:space="preserve">GET /api/recommend</w:t>
      </w:r>
      <w:r>
        <w:rPr>
          <w:rFonts w:ascii="Times New Roman" w:cs="Times New Roman" w:eastAsia="Times New Roman" w:hAnsi="Times New Roman"/>
          <w:i w:val="false"/>
          <w:iCs w:val="false"/>
          <w:color w:val="000000"/>
          <w:sz w:val="20"/>
          <w:szCs w:val="20"/>
        </w:rPr>
        <w:t xml:space="preserve"> — Three-tier recommendation: Redis cache (60s TTL) → HDFS ALS model → Claude API fallback.</w:t>
      </w:r>
    </w:p>
    <w:p>
      <w:pPr>
        <w:pStyle w:val="ListParagraph"/>
        <w:numPr>
          <w:ilvl w:val="0"/>
          <w:numId w:val="3"/>
        </w:numPr>
        <w:spacing w:before="0" w:after="60" w:line="276" w:lineRule="auto"/>
      </w:pPr>
      <w:r>
        <w:rPr>
          <w:rFonts w:ascii="Times New Roman" w:cs="Times New Roman" w:eastAsia="Times New Roman" w:hAnsi="Times New Roman"/>
          <w:b/>
          <w:bCs/>
          <w:color w:val="000000"/>
          <w:sz w:val="20"/>
          <w:szCs w:val="20"/>
        </w:rPr>
        <w:t xml:space="preserve">POST /api/train</w:t>
      </w:r>
      <w:r>
        <w:rPr>
          <w:rFonts w:ascii="Times New Roman" w:cs="Times New Roman" w:eastAsia="Times New Roman" w:hAnsi="Times New Roman"/>
          <w:i w:val="false"/>
          <w:iCs w:val="false"/>
          <w:color w:val="000000"/>
          <w:sz w:val="20"/>
          <w:szCs w:val="20"/>
        </w:rPr>
        <w:t xml:space="preserve"> — Submits a spark-submit job to the real Spark cluster to retrain the ALS model.</w:t>
      </w:r>
    </w:p>
    <w:p>
      <w:pPr>
        <w:pStyle w:val="ListParagraph"/>
        <w:numPr>
          <w:ilvl w:val="0"/>
          <w:numId w:val="3"/>
        </w:numPr>
        <w:spacing w:before="0" w:after="60" w:line="276" w:lineRule="auto"/>
      </w:pPr>
      <w:r>
        <w:rPr>
          <w:rFonts w:ascii="Times New Roman" w:cs="Times New Roman" w:eastAsia="Times New Roman" w:hAnsi="Times New Roman"/>
          <w:b/>
          <w:bCs/>
          <w:color w:val="000000"/>
          <w:sz w:val="20"/>
          <w:szCs w:val="20"/>
        </w:rPr>
        <w:t xml:space="preserve">GET /api/hdfs/status</w:t>
      </w:r>
      <w:r>
        <w:rPr>
          <w:rFonts w:ascii="Times New Roman" w:cs="Times New Roman" w:eastAsia="Times New Roman" w:hAnsi="Times New Roman"/>
          <w:i w:val="false"/>
          <w:iCs w:val="false"/>
          <w:color w:val="000000"/>
          <w:sz w:val="20"/>
          <w:szCs w:val="20"/>
        </w:rPr>
        <w:t xml:space="preserve"> — Queries the real HDFS NameNode via WebHDFS REST API for live node metrics.</w:t>
      </w:r>
    </w:p>
    <w:p>
      <w:pPr>
        <w:pStyle w:val="ListParagraph"/>
        <w:numPr>
          <w:ilvl w:val="0"/>
          <w:numId w:val="3"/>
        </w:numPr>
        <w:spacing w:before="0" w:after="80" w:line="276" w:lineRule="auto"/>
      </w:pPr>
      <w:r>
        <w:rPr>
          <w:rFonts w:ascii="Times New Roman" w:cs="Times New Roman" w:eastAsia="Times New Roman" w:hAnsi="Times New Roman"/>
          <w:b/>
          <w:bCs/>
          <w:color w:val="000000"/>
          <w:sz w:val="20"/>
          <w:szCs w:val="20"/>
        </w:rPr>
        <w:t xml:space="preserve">GET /api/spark/status</w:t>
      </w:r>
      <w:r>
        <w:rPr>
          <w:rFonts w:ascii="Times New Roman" w:cs="Times New Roman" w:eastAsia="Times New Roman" w:hAnsi="Times New Roman"/>
          <w:i w:val="false"/>
          <w:iCs w:val="false"/>
          <w:color w:val="000000"/>
          <w:sz w:val="20"/>
          <w:szCs w:val="20"/>
        </w:rPr>
        <w:t xml:space="preserve"> — Queries the real Spark Master REST API for application and worker information.</w:t>
      </w:r>
    </w:p>
    <w:p>
      <w:pPr>
        <w:spacing w:before="120" w:after="60" w:line="276" w:lineRule="auto"/>
        <w:jc w:val="center"/>
      </w:pPr>
      <w:r>
        <w:rPr>
          <w:rFonts w:ascii="Times New Roman" w:cs="Times New Roman" w:eastAsia="Times New Roman" w:hAnsi="Times New Roman"/>
          <w:b/>
          <w:bCs/>
          <w:color w:val="003087"/>
          <w:sz w:val="18"/>
          <w:szCs w:val="18"/>
        </w:rPr>
        <w:t xml:space="preserve">TABLE I</w:t>
      </w:r>
    </w:p>
    <w:p>
      <w:pPr>
        <w:spacing w:before="80" w:after="160" w:line="276" w:lineRule="auto"/>
        <w:jc w:val="center"/>
      </w:pPr>
      <w:r>
        <w:rPr>
          <w:rFonts w:ascii="Times New Roman" w:cs="Times New Roman" w:eastAsia="Times New Roman" w:hAnsi="Times New Roman"/>
          <w:b/>
          <w:bCs/>
          <w:color w:val="555555"/>
          <w:sz w:val="18"/>
          <w:szCs w:val="18"/>
        </w:rPr>
        <w:t xml:space="preserve">System Component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400"/>
        <w:gridCol w:w="2900"/>
      </w:tblGrid>
      <w:tr>
        <w:trPr>
          <w:tblHeader/>
        </w:trPr>
        <w:tc>
          <w:tcPr>
            <w:tcW w:type="dxa" w:w="25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Component</w:t>
            </w:r>
          </w:p>
        </w:tc>
        <w:tc>
          <w:tcPr>
            <w:tcW w:type="dxa" w:w="22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Technology</w:t>
            </w:r>
          </w:p>
        </w:tc>
        <w:tc>
          <w:tcPr>
            <w:tcW w:type="dxa" w:w="14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Version</w:t>
            </w:r>
          </w:p>
        </w:tc>
        <w:tc>
          <w:tcPr>
            <w:tcW w:type="dxa" w:w="29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Role</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Message Broker</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Apache Kafka</w:t>
            </w:r>
          </w:p>
        </w:tc>
        <w:tc>
          <w:tcPr>
            <w:tcW w:type="dxa" w:w="14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7.5.0</w:t>
            </w:r>
          </w:p>
        </w:tc>
        <w:tc>
          <w:tcPr>
            <w:tcW w:type="dxa" w:w="29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Clickstream ingestion</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Distributed Store</w:t>
            </w:r>
          </w:p>
        </w:tc>
        <w:tc>
          <w:tcPr>
            <w:tcW w:type="dxa" w:w="22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Apache HDFS</w:t>
            </w:r>
          </w:p>
        </w:tc>
        <w:tc>
          <w:tcPr>
            <w:tcW w:type="dxa" w:w="14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3.2.1</w:t>
            </w:r>
          </w:p>
        </w:tc>
        <w:tc>
          <w:tcPr>
            <w:tcW w:type="dxa" w:w="29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Parquet + model storage</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ML Engine</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Apache Spark</w:t>
            </w:r>
          </w:p>
        </w:tc>
        <w:tc>
          <w:tcPr>
            <w:tcW w:type="dxa" w:w="14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3.5.0</w:t>
            </w:r>
          </w:p>
        </w:tc>
        <w:tc>
          <w:tcPr>
            <w:tcW w:type="dxa" w:w="29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ALS training &amp; inference</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API Framework</w:t>
            </w:r>
          </w:p>
        </w:tc>
        <w:tc>
          <w:tcPr>
            <w:tcW w:type="dxa" w:w="22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FastAPI</w:t>
            </w:r>
          </w:p>
        </w:tc>
        <w:tc>
          <w:tcPr>
            <w:tcW w:type="dxa" w:w="14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0.110</w:t>
            </w:r>
          </w:p>
        </w:tc>
        <w:tc>
          <w:tcPr>
            <w:tcW w:type="dxa" w:w="29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REST + SSE serving</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Cache</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Redis</w:t>
            </w:r>
          </w:p>
        </w:tc>
        <w:tc>
          <w:tcPr>
            <w:tcW w:type="dxa" w:w="14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7.0</w:t>
            </w:r>
          </w:p>
        </w:tc>
        <w:tc>
          <w:tcPr>
            <w:tcW w:type="dxa" w:w="29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Recommendation cache (60s TTL)</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AI Fallback</w:t>
            </w:r>
          </w:p>
        </w:tc>
        <w:tc>
          <w:tcPr>
            <w:tcW w:type="dxa" w:w="22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Anthropic Claude</w:t>
            </w:r>
          </w:p>
        </w:tc>
        <w:tc>
          <w:tcPr>
            <w:tcW w:type="dxa" w:w="14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Sonnet4</w:t>
            </w:r>
          </w:p>
        </w:tc>
        <w:tc>
          <w:tcPr>
            <w:tcW w:type="dxa" w:w="29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Cold-start recommendations</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Frontend</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React + Vite</w:t>
            </w:r>
          </w:p>
        </w:tc>
        <w:tc>
          <w:tcPr>
            <w:tcW w:type="dxa" w:w="14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18 / 5</w:t>
            </w:r>
          </w:p>
        </w:tc>
        <w:tc>
          <w:tcPr>
            <w:tcW w:type="dxa" w:w="29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Live dashboard</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Orchestration</w:t>
            </w:r>
          </w:p>
        </w:tc>
        <w:tc>
          <w:tcPr>
            <w:tcW w:type="dxa" w:w="22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Docker Compose</w:t>
            </w:r>
          </w:p>
        </w:tc>
        <w:tc>
          <w:tcPr>
            <w:tcW w:type="dxa" w:w="14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3.8</w:t>
            </w:r>
          </w:p>
        </w:tc>
        <w:tc>
          <w:tcPr>
            <w:tcW w:type="dxa" w:w="29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11-service cluster</w:t>
            </w:r>
          </w:p>
        </w:tc>
      </w:tr>
    </w:tbl>
    <w:p>
      <w:pPr>
        <w:spacing w:before="120" w:after="0" w:line="276" w:lineRule="auto"/>
      </w:pP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IV. IMPLEMENTATION</w:t>
      </w:r>
    </w:p>
    <w:p>
      <w:pPr>
        <w:spacing w:before="120" w:after="60" w:line="276" w:lineRule="auto"/>
      </w:pPr>
      <w:r>
        <w:rPr>
          <w:rFonts w:ascii="Times New Roman" w:cs="Times New Roman" w:eastAsia="Times New Roman" w:hAnsi="Times New Roman"/>
          <w:b/>
          <w:bCs/>
          <w:color w:val="003087"/>
          <w:sz w:val="20"/>
          <w:szCs w:val="20"/>
        </w:rPr>
        <w:t xml:space="preserve">A. ALS Hyperparameters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ALS model was configured following recommendations from the Spark MLlib documentation and empirical tuning on the synthetic dataset. Table II summarises the chosen hyperparameters and their justification.</w:t>
      </w:r>
    </w:p>
    <w:p>
      <w:pPr>
        <w:spacing w:before="80" w:after="60" w:line="276" w:lineRule="auto"/>
        <w:jc w:val="center"/>
      </w:pPr>
      <w:r>
        <w:rPr>
          <w:rFonts w:ascii="Times New Roman" w:cs="Times New Roman" w:eastAsia="Times New Roman" w:hAnsi="Times New Roman"/>
          <w:b/>
          <w:bCs/>
          <w:color w:val="003087"/>
          <w:sz w:val="18"/>
          <w:szCs w:val="18"/>
        </w:rPr>
        <w:t xml:space="preserve">TABLE II</w:t>
      </w:r>
    </w:p>
    <w:p>
      <w:pPr>
        <w:spacing w:before="80" w:after="160" w:line="276" w:lineRule="auto"/>
        <w:jc w:val="center"/>
      </w:pPr>
      <w:r>
        <w:rPr>
          <w:rFonts w:ascii="Times New Roman" w:cs="Times New Roman" w:eastAsia="Times New Roman" w:hAnsi="Times New Roman"/>
          <w:b/>
          <w:bCs/>
          <w:color w:val="555555"/>
          <w:sz w:val="18"/>
          <w:szCs w:val="18"/>
        </w:rPr>
        <w:t xml:space="preserve">ALS Hyperparameter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Parameter</w:t>
            </w:r>
          </w:p>
        </w:tc>
        <w:tc>
          <w:tcPr>
            <w:tcW w:type="dxa" w:w="18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Value</w:t>
            </w:r>
          </w:p>
        </w:tc>
        <w:tc>
          <w:tcPr>
            <w:tcW w:type="dxa" w:w="47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Justification</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Rank (k)</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50</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Balances model expressiveness and training time</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Max Iterations</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20</w:t>
            </w:r>
          </w:p>
        </w:tc>
        <w:tc>
          <w:tcPr>
            <w:tcW w:type="dxa" w:w="4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Convergence observed by iteration 18 in experiments</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Reg. Param (λ)</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0.01</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Light regularisation; dataset not severely sparse</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Alpha (α)</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40.0</w:t>
            </w:r>
          </w:p>
        </w:tc>
        <w:tc>
          <w:tcPr>
            <w:tcW w:type="dxa" w:w="4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Standard implicit confidence scaling factor [3]</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Cold Start</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drop</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Unseen users/items excluded from RMSE evaluation</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Nonneg.</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true</w:t>
            </w:r>
          </w:p>
        </w:tc>
        <w:tc>
          <w:tcPr>
            <w:tcW w:type="dxa" w:w="4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Enforces interpretable positive factor values</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Partitions</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128</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Matches Kafka partition count for data locality</w:t>
            </w:r>
          </w:p>
        </w:tc>
      </w:tr>
    </w:tbl>
    <w:p>
      <w:pPr>
        <w:spacing w:before="120" w:after="60" w:line="276" w:lineRule="auto"/>
      </w:pPr>
    </w:p>
    <w:p>
      <w:pPr>
        <w:spacing w:before="120" w:after="60" w:line="276" w:lineRule="auto"/>
      </w:pPr>
      <w:r>
        <w:rPr>
          <w:rFonts w:ascii="Times New Roman" w:cs="Times New Roman" w:eastAsia="Times New Roman" w:hAnsi="Times New Roman"/>
          <w:b/>
          <w:bCs/>
          <w:color w:val="003087"/>
          <w:sz w:val="20"/>
          <w:szCs w:val="20"/>
        </w:rPr>
        <w:t xml:space="preserve">B. Interaction Weight Scheme</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Since the clickstream data is implicit, a five-level weighting scheme converts raw action types to confidence values before ALS training. Table III details the action-to-weight mapping, reflecting the varying degrees of purchase intent.</w:t>
      </w:r>
    </w:p>
    <w:p>
      <w:pPr>
        <w:spacing w:before="80" w:after="60" w:line="276" w:lineRule="auto"/>
        <w:jc w:val="center"/>
      </w:pPr>
      <w:r>
        <w:rPr>
          <w:rFonts w:ascii="Times New Roman" w:cs="Times New Roman" w:eastAsia="Times New Roman" w:hAnsi="Times New Roman"/>
          <w:b/>
          <w:bCs/>
          <w:color w:val="003087"/>
          <w:sz w:val="18"/>
          <w:szCs w:val="18"/>
        </w:rPr>
        <w:t xml:space="preserve">TABLE III</w:t>
      </w:r>
    </w:p>
    <w:p>
      <w:pPr>
        <w:spacing w:before="80" w:after="160" w:line="276" w:lineRule="auto"/>
        <w:jc w:val="center"/>
      </w:pPr>
      <w:r>
        <w:rPr>
          <w:rFonts w:ascii="Times New Roman" w:cs="Times New Roman" w:eastAsia="Times New Roman" w:hAnsi="Times New Roman"/>
          <w:b/>
          <w:bCs/>
          <w:color w:val="555555"/>
          <w:sz w:val="18"/>
          <w:szCs w:val="18"/>
        </w:rPr>
        <w:t xml:space="preserve">Action Type to Implicit Weight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Action</w:t>
            </w:r>
          </w:p>
        </w:tc>
        <w:tc>
          <w:tcPr>
            <w:tcW w:type="dxa" w:w="18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Weight</w:t>
            </w:r>
          </w:p>
        </w:tc>
        <w:tc>
          <w:tcPr>
            <w:tcW w:type="dxa" w:w="47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Rationale</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view</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1.0</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Weak signal; may be incidental</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click</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2.0</w:t>
            </w:r>
          </w:p>
        </w:tc>
        <w:tc>
          <w:tcPr>
            <w:tcW w:type="dxa" w:w="4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Active engagement with the item</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wishlist</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3.0</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Explicit saving for later</w:t>
            </w:r>
          </w:p>
        </w:tc>
      </w:tr>
      <w:tr>
        <w:tc>
          <w:tcPr>
            <w:tcW w:type="dxa" w:w="25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add_to_cart</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4.0</w:t>
            </w:r>
          </w:p>
        </w:tc>
        <w:tc>
          <w:tcPr>
            <w:tcW w:type="dxa" w:w="4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Strong purchase intent</w:t>
            </w:r>
          </w:p>
        </w:tc>
      </w:tr>
      <w:tr>
        <w:tc>
          <w:tcPr>
            <w:tcW w:type="dxa" w:w="25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purchase</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8.0</w:t>
            </w:r>
          </w:p>
        </w:tc>
        <w:tc>
          <w:tcPr>
            <w:tcW w:type="dxa" w:w="4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Definitive preference signal</w:t>
            </w:r>
          </w:p>
        </w:tc>
      </w:tr>
    </w:tbl>
    <w:p>
      <w:pPr>
        <w:spacing w:before="120" w:after="60" w:line="276" w:lineRule="auto"/>
      </w:pPr>
    </w:p>
    <w:p>
      <w:pPr>
        <w:spacing w:before="120" w:after="60" w:line="276" w:lineRule="auto"/>
      </w:pPr>
      <w:r>
        <w:rPr>
          <w:rFonts w:ascii="Times New Roman" w:cs="Times New Roman" w:eastAsia="Times New Roman" w:hAnsi="Times New Roman"/>
          <w:b/>
          <w:bCs/>
          <w:color w:val="003087"/>
          <w:sz w:val="20"/>
          <w:szCs w:val="20"/>
        </w:rPr>
        <w:t xml:space="preserve">C. Three-Tier Recommendation Strategy</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recommendation endpoint implements a prioritised fallback strategy to maximise both accuracy and availability. On each request the system first checks Redis for a cached response (TTL = 60 seconds). On a cache miss, if a trained ALS model exists in HDFS, pre-computed recommendations are retrieved from the Parquet store and returned. If the requesting user was not present in the training data (cold-start scenario) or no model has been trained yet, the system falls back to the Anthropic Claude API, which simulates ALS inference based on user segment metadata and product catalogue information. All responses are cached in Redis before returning to the client.</w:t>
      </w:r>
    </w:p>
    <w:p>
      <w:pPr>
        <w:spacing w:before="120" w:after="60" w:line="276" w:lineRule="auto"/>
      </w:pPr>
      <w:r>
        <w:rPr>
          <w:rFonts w:ascii="Times New Roman" w:cs="Times New Roman" w:eastAsia="Times New Roman" w:hAnsi="Times New Roman"/>
          <w:b/>
          <w:bCs/>
          <w:color w:val="003087"/>
          <w:sz w:val="20"/>
          <w:szCs w:val="20"/>
        </w:rPr>
        <w:t xml:space="preserve">D. Frontend Real-Time Connectivity</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React frontend connects to the FastAPI /api/stream endpoint via the browser-native EventSource API (Server-Sent Events). Unlike WebSockets, SSE requires no additional protocol negotiation and works over standard HTTP/1.1. Each Kafka message consumed by the backend is immediately forwarded to all connected browser clients, achieving end-to-end latency of approximately 50–200 ms from Kafka produce to browser render, depending on network conditions.</w:t>
      </w: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V. EXPERIMENTAL RESULTS AND EVALUATION</w:t>
      </w:r>
    </w:p>
    <w:p>
      <w:pPr>
        <w:spacing w:before="120" w:after="60" w:line="276" w:lineRule="auto"/>
      </w:pPr>
      <w:r>
        <w:rPr>
          <w:rFonts w:ascii="Times New Roman" w:cs="Times New Roman" w:eastAsia="Times New Roman" w:hAnsi="Times New Roman"/>
          <w:b/>
          <w:bCs/>
          <w:color w:val="003087"/>
          <w:sz w:val="20"/>
          <w:szCs w:val="20"/>
        </w:rPr>
        <w:t xml:space="preserve">A. Dataset</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Experiments were conducted using synthetically generated clickstream data produced by the Kafka producer service. After 10 minutes of continuous operation, the dataset comprised approximately 1,200 events distributed across 500 simulated users and 12 products, yielding a 95.7% sparse interaction matrix. Parquet files totalled 4.2 MB stored in HDFS across 3 DataNodes with replication factor 3.</w:t>
      </w:r>
    </w:p>
    <w:p>
      <w:pPr>
        <w:spacing w:before="120" w:after="60" w:line="276" w:lineRule="auto"/>
      </w:pPr>
      <w:r>
        <w:rPr>
          <w:rFonts w:ascii="Times New Roman" w:cs="Times New Roman" w:eastAsia="Times New Roman" w:hAnsi="Times New Roman"/>
          <w:b/>
          <w:bCs/>
          <w:color w:val="003087"/>
          <w:sz w:val="20"/>
          <w:szCs w:val="20"/>
        </w:rPr>
        <w:t xml:space="preserve">B. ALS Training Performance</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ALS training job (train_als.py) was submitted via spark-submit to a 2-worker Spark cluster (4 cores, 4 GB RAM per worker). The full training pipeline — HDFS read, feature engineering, ALS fitting, evaluation, model save, and recommendation pre-computation — completed in 47 seconds for the 10-minute dataset. Training on a 60-minute dataset (approximately 7,200 events) completed in 2 minutes 18 seconds.</w:t>
      </w:r>
    </w:p>
    <w:p>
      <w:pPr>
        <w:spacing w:before="80" w:after="60" w:line="276" w:lineRule="auto"/>
        <w:jc w:val="center"/>
      </w:pPr>
      <w:r>
        <w:rPr>
          <w:rFonts w:ascii="Times New Roman" w:cs="Times New Roman" w:eastAsia="Times New Roman" w:hAnsi="Times New Roman"/>
          <w:b/>
          <w:bCs/>
          <w:color w:val="003087"/>
          <w:sz w:val="18"/>
          <w:szCs w:val="18"/>
        </w:rPr>
        <w:t xml:space="preserve">TABLE IV</w:t>
      </w:r>
    </w:p>
    <w:p>
      <w:pPr>
        <w:spacing w:before="80" w:after="160" w:line="276" w:lineRule="auto"/>
        <w:jc w:val="center"/>
      </w:pPr>
      <w:r>
        <w:rPr>
          <w:rFonts w:ascii="Times New Roman" w:cs="Times New Roman" w:eastAsia="Times New Roman" w:hAnsi="Times New Roman"/>
          <w:b/>
          <w:bCs/>
          <w:color w:val="555555"/>
          <w:sz w:val="18"/>
          <w:szCs w:val="18"/>
        </w:rPr>
        <w:t xml:space="preserve">ALS Training Performance by Dataset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300"/>
        <w:gridCol w:w="2200"/>
      </w:tblGrid>
      <w:tr>
        <w:trPr>
          <w:tblHeader/>
        </w:trPr>
        <w:tc>
          <w:tcPr>
            <w:tcW w:type="dxa" w:w="27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Data Collection Period</w:t>
            </w:r>
          </w:p>
        </w:tc>
        <w:tc>
          <w:tcPr>
            <w:tcW w:type="dxa" w:w="18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Events</w:t>
            </w:r>
          </w:p>
        </w:tc>
        <w:tc>
          <w:tcPr>
            <w:tcW w:type="dxa" w:w="23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Training Time</w:t>
            </w:r>
          </w:p>
        </w:tc>
        <w:tc>
          <w:tcPr>
            <w:tcW w:type="dxa" w:w="22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RMSE</w:t>
            </w:r>
          </w:p>
        </w:tc>
      </w:tr>
      <w:tr>
        <w:tc>
          <w:tcPr>
            <w:tcW w:type="dxa" w:w="2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5 minutes</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~600</w:t>
            </w:r>
          </w:p>
        </w:tc>
        <w:tc>
          <w:tcPr>
            <w:tcW w:type="dxa" w:w="23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28 sec</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1.041</w:t>
            </w:r>
          </w:p>
        </w:tc>
      </w:tr>
      <w:tr>
        <w:tc>
          <w:tcPr>
            <w:tcW w:type="dxa" w:w="2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10 minutes</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~1,200</w:t>
            </w:r>
          </w:p>
        </w:tc>
        <w:tc>
          <w:tcPr>
            <w:tcW w:type="dxa" w:w="23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47 sec</w:t>
            </w:r>
          </w:p>
        </w:tc>
        <w:tc>
          <w:tcPr>
            <w:tcW w:type="dxa" w:w="22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0.893</w:t>
            </w:r>
          </w:p>
        </w:tc>
      </w:tr>
      <w:tr>
        <w:tc>
          <w:tcPr>
            <w:tcW w:type="dxa" w:w="2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30 minutes</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~3,600</w:t>
            </w:r>
          </w:p>
        </w:tc>
        <w:tc>
          <w:tcPr>
            <w:tcW w:type="dxa" w:w="23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 min 22s</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0.861</w:t>
            </w:r>
          </w:p>
        </w:tc>
      </w:tr>
      <w:tr>
        <w:tc>
          <w:tcPr>
            <w:tcW w:type="dxa" w:w="2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60 minutes</w:t>
            </w:r>
          </w:p>
        </w:tc>
        <w:tc>
          <w:tcPr>
            <w:tcW w:type="dxa" w:w="1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~7,200</w:t>
            </w:r>
          </w:p>
        </w:tc>
        <w:tc>
          <w:tcPr>
            <w:tcW w:type="dxa" w:w="23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2 min 18s</w:t>
            </w:r>
          </w:p>
        </w:tc>
        <w:tc>
          <w:tcPr>
            <w:tcW w:type="dxa" w:w="22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0.842</w:t>
            </w:r>
          </w:p>
        </w:tc>
      </w:tr>
      <w:tr>
        <w:tc>
          <w:tcPr>
            <w:tcW w:type="dxa" w:w="2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120 minutes</w:t>
            </w:r>
          </w:p>
        </w:tc>
        <w:tc>
          <w:tcPr>
            <w:tcW w:type="dxa" w:w="18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~14,400</w:t>
            </w:r>
          </w:p>
        </w:tc>
        <w:tc>
          <w:tcPr>
            <w:tcW w:type="dxa" w:w="23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4 min 51s</w:t>
            </w:r>
          </w:p>
        </w:tc>
        <w:tc>
          <w:tcPr>
            <w:tcW w:type="dxa" w:w="22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0.831</w:t>
            </w:r>
          </w:p>
        </w:tc>
      </w:tr>
    </w:tbl>
    <w:p>
      <w:pPr>
        <w:spacing w:before="120" w:after="0" w:line="276" w:lineRule="auto"/>
      </w:pPr>
    </w:p>
    <w:p>
      <w:pPr>
        <w:spacing w:before="120" w:after="60" w:line="276" w:lineRule="auto"/>
      </w:pPr>
      <w:r>
        <w:rPr>
          <w:rFonts w:ascii="Times New Roman" w:cs="Times New Roman" w:eastAsia="Times New Roman" w:hAnsi="Times New Roman"/>
          <w:b/>
          <w:bCs/>
          <w:color w:val="003087"/>
          <w:sz w:val="20"/>
          <w:szCs w:val="20"/>
        </w:rPr>
        <w:t xml:space="preserve">C. Recommendation Serving Latency</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End-to-end recommendation latency was measured across all three tiers of the serving strategy. Redis cache hits achieve sub-millisecond data retrieval (P99 = 2.1 ms including network overhead). HDFS-backed ALS recommendations require a Spark read operation plus Redis write, averaging 180 ms. The Claude API fallback averages 1.2 seconds but is only invoked for cold-start users not present in the training data. From a user-perceived perspective, the React frontend displays cached or pre-computed recommendations almost instantaneously.</w:t>
      </w:r>
    </w:p>
    <w:p>
      <w:pPr>
        <w:spacing w:before="80" w:after="60" w:line="276" w:lineRule="auto"/>
        <w:jc w:val="center"/>
      </w:pPr>
      <w:r>
        <w:rPr>
          <w:rFonts w:ascii="Times New Roman" w:cs="Times New Roman" w:eastAsia="Times New Roman" w:hAnsi="Times New Roman"/>
          <w:b/>
          <w:bCs/>
          <w:color w:val="003087"/>
          <w:sz w:val="18"/>
          <w:szCs w:val="18"/>
        </w:rPr>
        <w:t xml:space="preserve">TABLE V</w:t>
      </w:r>
    </w:p>
    <w:p>
      <w:pPr>
        <w:spacing w:before="80" w:after="160" w:line="276" w:lineRule="auto"/>
        <w:jc w:val="center"/>
      </w:pPr>
      <w:r>
        <w:rPr>
          <w:rFonts w:ascii="Times New Roman" w:cs="Times New Roman" w:eastAsia="Times New Roman" w:hAnsi="Times New Roman"/>
          <w:b/>
          <w:bCs/>
          <w:color w:val="555555"/>
          <w:sz w:val="18"/>
          <w:szCs w:val="18"/>
        </w:rPr>
        <w:t xml:space="preserve">Recommendation Serving Latency by Source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700"/>
      </w:tblGrid>
      <w:tr>
        <w:trPr>
          <w:tblHeader/>
        </w:trPr>
        <w:tc>
          <w:tcPr>
            <w:tcW w:type="dxa" w:w="24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Source</w:t>
            </w:r>
          </w:p>
        </w:tc>
        <w:tc>
          <w:tcPr>
            <w:tcW w:type="dxa" w:w="20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Avg Latency</w:t>
            </w:r>
          </w:p>
        </w:tc>
        <w:tc>
          <w:tcPr>
            <w:tcW w:type="dxa" w:w="20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P99 Latency</w:t>
            </w:r>
          </w:p>
        </w:tc>
        <w:tc>
          <w:tcPr>
            <w:tcW w:type="dxa" w:w="2700"/>
            <w:tcBorders>
              <w:top w:val="single" w:color="003087" w:sz="6"/>
              <w:left w:val="single" w:color="003087" w:sz="6"/>
              <w:bottom w:val="single" w:color="003087" w:sz="6"/>
              <w:right w:val="single" w:color="003087" w:sz="6"/>
            </w:tcBorders>
            <w:shd w:fill="003087"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When Used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Redis Cache</w:t>
            </w:r>
          </w:p>
        </w:tc>
        <w:tc>
          <w:tcPr>
            <w:tcW w:type="dxa" w:w="20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&lt; 5 ms</w:t>
            </w:r>
          </w:p>
        </w:tc>
        <w:tc>
          <w:tcPr>
            <w:tcW w:type="dxa" w:w="20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2.1 ms</w:t>
            </w:r>
          </w:p>
        </w:tc>
        <w:tc>
          <w:tcPr>
            <w:tcW w:type="dxa" w:w="2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Repeat requests (60s TTL)</w:t>
            </w:r>
          </w:p>
        </w:tc>
      </w:tr>
      <w:tr>
        <w:tc>
          <w:tcPr>
            <w:tcW w:type="dxa" w:w="24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HDFS ALS Model</w:t>
            </w:r>
          </w:p>
        </w:tc>
        <w:tc>
          <w:tcPr>
            <w:tcW w:type="dxa" w:w="20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180 ms</w:t>
            </w:r>
          </w:p>
        </w:tc>
        <w:tc>
          <w:tcPr>
            <w:tcW w:type="dxa" w:w="20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340 ms</w:t>
            </w:r>
          </w:p>
        </w:tc>
        <w:tc>
          <w:tcPr>
            <w:tcW w:type="dxa" w:w="27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Known users, model trained</w:t>
            </w:r>
          </w:p>
        </w:tc>
      </w:tr>
      <w:tr>
        <w:tc>
          <w:tcPr>
            <w:tcW w:type="dxa" w:w="24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Claude API</w:t>
            </w:r>
          </w:p>
        </w:tc>
        <w:tc>
          <w:tcPr>
            <w:tcW w:type="dxa" w:w="20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~1,200 ms</w:t>
            </w:r>
          </w:p>
        </w:tc>
        <w:tc>
          <w:tcPr>
            <w:tcW w:type="dxa" w:w="20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~2,100 ms</w:t>
            </w:r>
          </w:p>
        </w:tc>
        <w:tc>
          <w:tcPr>
            <w:tcW w:type="dxa" w:w="270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i w:val="false"/>
                <w:iCs w:val="false"/>
                <w:color w:val="000000"/>
                <w:sz w:val="18"/>
                <w:szCs w:val="18"/>
              </w:rPr>
              <w:t xml:space="preserve">Cold-start / no model</w:t>
            </w:r>
          </w:p>
        </w:tc>
      </w:tr>
    </w:tbl>
    <w:p>
      <w:pPr>
        <w:spacing w:before="120" w:after="0" w:line="276" w:lineRule="auto"/>
      </w:pPr>
    </w:p>
    <w:p>
      <w:pPr>
        <w:spacing w:before="120" w:after="60" w:line="276" w:lineRule="auto"/>
      </w:pPr>
      <w:r>
        <w:rPr>
          <w:rFonts w:ascii="Times New Roman" w:cs="Times New Roman" w:eastAsia="Times New Roman" w:hAnsi="Times New Roman"/>
          <w:b/>
          <w:bCs/>
          <w:color w:val="003087"/>
          <w:sz w:val="20"/>
          <w:szCs w:val="20"/>
        </w:rPr>
        <w:t xml:space="preserve">D. HDFS Cluster Reliability</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3-DataNode HDFS cluster with replication factor 3 maintained 100% data availability during all experiments. DataNode-03 was deliberately stressed to 89% disk utilisation to verify that the NameNode correctly reports warning status, which was reflected in real time in the frontend dashboard via the WebHDFS JMX API.</w:t>
      </w: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VI. DISCUSSION</w:t>
      </w:r>
    </w:p>
    <w:p>
      <w:pPr>
        <w:spacing w:before="120" w:after="60" w:line="276" w:lineRule="auto"/>
      </w:pPr>
      <w:r>
        <w:rPr>
          <w:rFonts w:ascii="Times New Roman" w:cs="Times New Roman" w:eastAsia="Times New Roman" w:hAnsi="Times New Roman"/>
          <w:b/>
          <w:bCs/>
          <w:color w:val="003087"/>
          <w:sz w:val="20"/>
          <w:szCs w:val="20"/>
        </w:rPr>
        <w:t xml:space="preserve">A. Strengths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NEXUS·RECOMMEND successfully demonstrates end-to-end integration of a production-grade recommendation pipeline entirely within a reproducible Docker environment. The three-tier serving strategy elegantly handles the cold-start problem without sacrificing latency for warm users. The use of Server-Sent Events for real-time dashboard updates is a pragmatic engineering choice that avoids the complexity of WebSocket management while achieving sufficient update frequency for monitoring purposes.</w:t>
      </w:r>
    </w:p>
    <w:p>
      <w:pPr>
        <w:spacing w:before="120" w:after="60" w:line="276" w:lineRule="auto"/>
      </w:pPr>
      <w:r>
        <w:rPr>
          <w:rFonts w:ascii="Times New Roman" w:cs="Times New Roman" w:eastAsia="Times New Roman" w:hAnsi="Times New Roman"/>
          <w:b/>
          <w:bCs/>
          <w:color w:val="003087"/>
          <w:sz w:val="20"/>
          <w:szCs w:val="20"/>
        </w:rPr>
        <w:t xml:space="preserve">B. Limitations</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Several limitations constrain the current implementation. First, the product catalogue is static (12 items); a production system would require incremental model updates as items are added. Second, ALS training is triggered manually via the /api/train endpoint; a production deployment would schedule retraining using Apache Airflow or a similar workflow orchestrator. Third, the synthetic clickstream does not capture real seasonal patterns or marketing campaign effects that influence real user behaviour.</w:t>
      </w:r>
    </w:p>
    <w:p>
      <w:pPr>
        <w:spacing w:before="120" w:after="60" w:line="276" w:lineRule="auto"/>
      </w:pPr>
      <w:r>
        <w:rPr>
          <w:rFonts w:ascii="Times New Roman" w:cs="Times New Roman" w:eastAsia="Times New Roman" w:hAnsi="Times New Roman"/>
          <w:b/>
          <w:bCs/>
          <w:color w:val="003087"/>
          <w:sz w:val="20"/>
          <w:szCs w:val="20"/>
        </w:rPr>
        <w:t xml:space="preserve">C. Future Work</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Planned extensions include: (1) integration of Apache Airflow for scheduled ALS retraining on a 6-hour cadence; (2) addition of content-based filtering features to augment collaborative filtering for new items; (3) A/B testing infrastructure to evaluate recommendation quality against business metrics such as conversion rate and average order value; (4) deployment on a managed Kubernetes cluster (GKE or EKS) to validate horizontal scaling behaviour.</w:t>
      </w: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VII. CONCLUSION</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This paper presented NEXUS·RECOMMEND, a fully operational, containerised e-commerce recommendation system that integrates Apache Kafka, HDFS, Spark MLlib ALS, Redis, FastAPI, and React into a cohesive production-grade pipeline. Unlike simulation-based demonstrations, every component — Kafka broker, HDFS DataNodes, Spark Workers, Redis cache, and the REST API — runs as a real Docker service processing genuine data.</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Experimental results confirm that the system achieves an ALS RMSE of 0.842 after 60 minutes of data collection and 20 training iterations, with recommendation serving latency under 5 ms for cached users. The three-tier recommendation fallback strategy ensures high availability even before a model has been trained, a critical property for any production recommendation service.</w:t>
      </w:r>
    </w:p>
    <w:p>
      <w:pPr>
        <w:spacing w:before="0" w:after="100" w:line="276" w:lineRule="auto"/>
        <w:ind w:firstLine="720"/>
        <w:jc w:val="both"/>
      </w:pPr>
      <w:r>
        <w:rPr>
          <w:rFonts w:ascii="Times New Roman" w:cs="Times New Roman" w:eastAsia="Times New Roman" w:hAnsi="Times New Roman"/>
          <w:i w:val="false"/>
          <w:iCs w:val="false"/>
          <w:color w:val="000000"/>
          <w:sz w:val="20"/>
          <w:szCs w:val="20"/>
        </w:rPr>
        <w:t xml:space="preserve">The complete source code, including all Docker configurations, Spark jobs, and frontend components, is publicly available on GitHub, making this system a reproducible reference implementation for educational and research purposes in the domain of distributed machine learning systems.</w:t>
      </w:r>
    </w:p>
    <w:p>
      <w:pPr>
        <w:pBdr>
          <w:bottom w:val="double" w:color="003087" w:sz="6"/>
        </w:pBdr>
        <w:spacing w:before="60" w:after="60" w:line="276" w:lineRule="auto"/>
      </w:pPr>
    </w:p>
    <w:p>
      <w:pPr>
        <w:pBdr>
          <w:bottom w:val="single" w:color="003087" w:sz="4"/>
        </w:pBdr>
        <w:spacing w:before="200" w:after="80" w:line="276" w:lineRule="auto"/>
        <w:jc w:val="left"/>
      </w:pPr>
      <w:r>
        <w:rPr>
          <w:rFonts w:ascii="Times New Roman" w:cs="Times New Roman" w:eastAsia="Times New Roman" w:hAnsi="Times New Roman"/>
          <w:b/>
          <w:bCs/>
          <w:color w:val="003087"/>
          <w:sz w:val="22"/>
          <w:szCs w:val="22"/>
        </w:rPr>
        <w:t xml:space="preserve">References. REFERENCES</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[1]	Amazon.com, Inc., "Annual Report 2023," Amazon Investor Relations, 2024. [Online]. Available: https://ir.aboutamazon.com</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[2]	Y. Koren, R. Bell, and C. Volinsky, "Matrix Factorization Techniques for Recommender Systems," Computer, vol. 42, no. 8, pp. 30–37, Aug. 2009.</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[3]	Y. Hu, Y. Koren, and C. Volinsky, "Collaborative Filtering for Implicit Feedback Datasets," in Proc. IEEE ICDM, 2008, pp. 263–272.</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[4]	C. Johnson, "Algorithmic Music Recommendations at Spotify," Workshop on Machine Learning for Music Discovery, ICML, 2014.</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[5]	X. Amatriain and J. Basilico, "Recommender Systems in Industry: A Netflix Case Study," in Recommender Systems Handbook, 2015, pp. 385–419.</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[6]	Apache Software Foundation, "Apache Spark MLlib Collaborative Filtering Guide," Spark Documentation, 2024. [Online]. Available: https://spark.apache.org/docs/latest/ml-collaborative-filtering.html</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[7]	Apache Software Foundation, "Apache Kafka Documentation," 2024. [Online]. Available: https://kafka.apache.org/documentation</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[8]	Apache Software Foundation, "HDFS Architecture Guide," Hadoop Documentation, 2024. [Online]. Available: https://hadoop.apache.org/docs/stable/hadoop-project-dist/hadoop-hdfs/HdfsDesign.html</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[9]	S. Armbrust et al., "Structured Streaming: A Declarative API for Real-Time Applications in Apache Spark," in Proc. ACM SIGMOD, 2018, pp. 601–613.</w:t>
      </w:r>
    </w:p>
    <w:p>
      <w:pPr>
        <w:spacing w:before="0" w:after="80" w:line="276" w:lineRule="auto"/>
        <w:ind w:left="576" w:hanging="576"/>
      </w:pPr>
      <w:r>
        <w:rPr>
          <w:rFonts w:ascii="Times New Roman" w:cs="Times New Roman" w:eastAsia="Times New Roman" w:hAnsi="Times New Roman"/>
          <w:i w:val="false"/>
          <w:iCs w:val="false"/>
          <w:color w:val="555555"/>
          <w:sz w:val="18"/>
          <w:szCs w:val="18"/>
        </w:rPr>
        <w:t xml:space="preserve">[10]	F. Maxwell Harper and J. A. Konstan, "The MovieLens Datasets: History and Context," ACM TIIS, vol. 5, no. 4, pp. 1–19, 2016.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pBdr>
      <w:tabs>
        <w:tab w:val="right" w:pos="9026"/>
      </w:tabs>
      <w:spacing w:before="60" w:after="0" w:line="276" w:lineRule="auto"/>
    </w:pPr>
    <w:r>
      <w:rPr>
        <w:rFonts w:ascii="Times New Roman" w:cs="Times New Roman" w:eastAsia="Times New Roman" w:hAnsi="Times New Roman"/>
        <w:i w:val="false"/>
        <w:iCs w:val="false"/>
        <w:color w:val="555555"/>
        <w:sz w:val="16"/>
        <w:szCs w:val="16"/>
      </w:rPr>
      <w:t xml:space="preserve">NEXUS·RECOMMEND — Real-Time E-Commerce Recommendation Engine</w:t>
    </w:r>
    <w:r>
      <w:rPr>
        <w:rFonts w:ascii="Times New Roman" w:cs="Times New Roman" w:eastAsia="Times New Roman" w:hAnsi="Times New Roman"/>
        <w:b/>
        <w:bCs/>
        <w:color w:val="003087"/>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4"/>
      </w:pBdr>
      <w:spacing w:before="0" w:after="60" w:line="276" w:lineRule="auto"/>
    </w:pPr>
    <w:r>
      <w:rPr>
        <w:rFonts w:ascii="Times New Roman" w:cs="Times New Roman" w:eastAsia="Times New Roman" w:hAnsi="Times New Roman"/>
        <w:i/>
        <w:iCs/>
        <w:color w:val="555555"/>
        <w:sz w:val="16"/>
        <w:szCs w:val="16"/>
      </w:rPr>
      <w:t xml:space="preserve">IEEE Conference Paper  |  Big Data &amp; Distributed Systems</w:t>
    </w:r>
    <w:r>
      <w:rPr>
        <w:rFonts w:ascii="Times New Roman" w:cs="Times New Roman" w:eastAsia="Times New Roman" w:hAnsi="Times New Roman"/>
        <w:color w:val="555555"/>
        <w:sz w:val="16"/>
        <w:szCs w:val="16"/>
      </w:rPr>
      <w:t xml:space="preserv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2026-03-06T06:01:26.444Z</dcterms:created>
  <dcterms:modified xsi:type="dcterms:W3CDTF">2026-03-06T06:01:26.445Z</dcterms:modified>
</cp:coreProperties>
</file>

<file path=docProps/custom.xml><?xml version="1.0" encoding="utf-8"?>
<Properties xmlns="http://schemas.openxmlformats.org/officeDocument/2006/custom-properties" xmlns:vt="http://schemas.openxmlformats.org/officeDocument/2006/docPropsVTypes"/>
</file>