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Employee Handbook &amp; HR Policy</w:t>
      </w:r>
    </w:p>
    <w:p>
      <w:pPr>
        <w:jc w:val="center"/>
      </w:pPr>
      <w:r>
        <w:rPr>
          <w:b/>
        </w:rPr>
        <w:t>NimbusCloud Technologies Pvt Ltd — Human Resources Department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Document Code</w:t>
            </w:r>
          </w:p>
        </w:tc>
        <w:tc>
          <w:tcPr>
            <w:tcW w:type="dxa" w:w="2160"/>
          </w:tcPr>
          <w:p>
            <w:r>
              <w:t>HR-POL-001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v3.2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01-Apr-2026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VP, Human Resources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  <w:tc>
          <w:tcPr>
            <w:tcW w:type="dxa" w:w="2160"/>
          </w:tcPr>
          <w:p>
            <w:r>
              <w:t>Department</w:t>
            </w:r>
          </w:p>
        </w:tc>
        <w:tc>
          <w:tcPr>
            <w:tcW w:type="dxa" w:w="2160"/>
          </w:tcPr>
          <w:p>
            <w:r>
              <w:t>Human Resources</w:t>
            </w:r>
          </w:p>
        </w:tc>
      </w:tr>
    </w:tbl>
    <w:p/>
    <w:p>
      <w:pPr>
        <w:pStyle w:val="Heading1"/>
      </w:pPr>
      <w:r>
        <w:t>1. Leave Policy</w:t>
      </w:r>
    </w:p>
    <w:p>
      <w:r>
        <w:t>All full-time, confirmed employees of NimbusCloud Technologies Pvt Ltd are entitled to paid leave as outlined below. Leave accrues monthly and unused Earned Leave (up to a cap) may be carried forward to the next calendar year.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Leave Type</w:t>
            </w:r>
          </w:p>
        </w:tc>
        <w:tc>
          <w:tcPr>
            <w:tcW w:type="dxa" w:w="2880"/>
          </w:tcPr>
          <w:p>
            <w:r>
              <w:t>Days per Year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Earned Leave (EL)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Accrues 1.5 days/month; max 30 days carry-forward</w:t>
            </w:r>
          </w:p>
        </w:tc>
      </w:tr>
      <w:tr>
        <w:tc>
          <w:tcPr>
            <w:tcW w:type="dxa" w:w="2880"/>
          </w:tcPr>
          <w:p>
            <w:r>
              <w:t>Sick Leave (SL)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Non-encashable; no carry-forward</w:t>
            </w:r>
          </w:p>
        </w:tc>
      </w:tr>
      <w:tr>
        <w:tc>
          <w:tcPr>
            <w:tcW w:type="dxa" w:w="2880"/>
          </w:tcPr>
          <w:p>
            <w:r>
              <w:t>Casual Leave (CL)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Non-encashable; lapses at year-end</w:t>
            </w:r>
          </w:p>
        </w:tc>
      </w:tr>
      <w:tr>
        <w:tc>
          <w:tcPr>
            <w:tcW w:type="dxa" w:w="2880"/>
          </w:tcPr>
          <w:p>
            <w:r>
              <w:t>Maternity Leave</w:t>
            </w:r>
          </w:p>
        </w:tc>
        <w:tc>
          <w:tcPr>
            <w:tcW w:type="dxa" w:w="2880"/>
          </w:tcPr>
          <w:p>
            <w:r>
              <w:t>26 weeks</w:t>
            </w:r>
          </w:p>
        </w:tc>
        <w:tc>
          <w:tcPr>
            <w:tcW w:type="dxa" w:w="2880"/>
          </w:tcPr>
          <w:p>
            <w:r>
              <w:t>Per Maternity Benefit Act</w:t>
            </w:r>
          </w:p>
        </w:tc>
      </w:tr>
      <w:tr>
        <w:tc>
          <w:tcPr>
            <w:tcW w:type="dxa" w:w="2880"/>
          </w:tcPr>
          <w:p>
            <w:r>
              <w:t>Paternity Leave</w:t>
            </w:r>
          </w:p>
        </w:tc>
        <w:tc>
          <w:tcPr>
            <w:tcW w:type="dxa" w:w="2880"/>
          </w:tcPr>
          <w:p>
            <w:r>
              <w:t>5 days</w:t>
            </w:r>
          </w:p>
        </w:tc>
        <w:tc>
          <w:tcPr>
            <w:tcW w:type="dxa" w:w="2880"/>
          </w:tcPr>
          <w:p>
            <w:r>
              <w:t>Within 30 days of birth/adoption</w:t>
            </w:r>
          </w:p>
        </w:tc>
      </w:tr>
    </w:tbl>
    <w:p/>
    <w:p>
      <w:pPr>
        <w:pStyle w:val="Heading1"/>
      </w:pPr>
      <w:r>
        <w:t>2. Working Hours &amp; Attendance</w:t>
      </w:r>
    </w:p>
    <w:p>
      <w:r>
        <w:t>Standard working hours are 9:00 AM to 6:00 PM, Monday through Friday, totalling 45 hours per week. Employees are expected to be physically or virtually present and responsive during core hours of 10:00 AM to 4:00 PM. Flexible working arrangements may be approved by an employee's reporting manager and must be documented.</w:t>
      </w:r>
    </w:p>
    <w:p>
      <w:pPr>
        <w:pStyle w:val="Heading1"/>
      </w:pPr>
      <w:r>
        <w:t>3. Code of Conduct</w:t>
      </w:r>
    </w:p>
    <w:p>
      <w:r>
        <w:t>All NimbusCloud employees are expected to act with integrity, professionalism, and respect at all times — whether interacting with colleagues, customers, partners, or the public. The following behaviours are prohibited:</w:t>
      </w:r>
    </w:p>
    <w:p>
      <w:pPr>
        <w:pStyle w:val="ListBullet"/>
      </w:pPr>
      <w:r>
        <w:t>Harassment, discrimination, or bullying of any kind.</w:t>
      </w:r>
    </w:p>
    <w:p>
      <w:pPr>
        <w:pStyle w:val="ListBullet"/>
      </w:pPr>
      <w:r>
        <w:t>Disclosure of confidential company or customer information to unauthorized parties.</w:t>
      </w:r>
    </w:p>
    <w:p>
      <w:pPr>
        <w:pStyle w:val="ListBullet"/>
      </w:pPr>
      <w:r>
        <w:t>Use of company resources (equipment, software, data) for personal commercial gain.</w:t>
      </w:r>
    </w:p>
    <w:p>
      <w:pPr>
        <w:pStyle w:val="ListBullet"/>
      </w:pPr>
      <w:r>
        <w:t>Misrepresentation of qualifications, experience, or work output.</w:t>
      </w:r>
    </w:p>
    <w:p>
      <w:pPr>
        <w:pStyle w:val="ListBullet"/>
      </w:pPr>
      <w:r>
        <w:t>Acceptance of gifts valued above ₹2,500 from vendors or customers without prior HR approval.</w:t>
      </w:r>
    </w:p>
    <w:p>
      <w:pPr>
        <w:pStyle w:val="Heading1"/>
      </w:pPr>
      <w:r>
        <w:t>4. Performance Management</w:t>
      </w:r>
    </w:p>
    <w:p>
      <w:r>
        <w:t>Performance is assessed through a structured review cycle comprising a mid-year check-in (June) and a full annual review (December). Ratings are given on a 5-point scale and directly influence annual increment and bonus decisions.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Rating</w:t>
            </w:r>
          </w:p>
        </w:tc>
        <w:tc>
          <w:tcPr>
            <w:tcW w:type="dxa" w:w="2880"/>
          </w:tcPr>
          <w:p>
            <w:r>
              <w:t>Label</w:t>
            </w:r>
          </w:p>
        </w:tc>
        <w:tc>
          <w:tcPr>
            <w:tcW w:type="dxa" w:w="2880"/>
          </w:tcPr>
          <w:p>
            <w:r>
              <w:t>Increment Range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Outstanding</w:t>
            </w:r>
          </w:p>
        </w:tc>
        <w:tc>
          <w:tcPr>
            <w:tcW w:type="dxa" w:w="2880"/>
          </w:tcPr>
          <w:p>
            <w:r>
              <w:t>18% – 25%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Exceeds Expectations</w:t>
            </w:r>
          </w:p>
        </w:tc>
        <w:tc>
          <w:tcPr>
            <w:tcW w:type="dxa" w:w="2880"/>
          </w:tcPr>
          <w:p>
            <w:r>
              <w:t>12% – 17%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Meets Expectations</w:t>
            </w:r>
          </w:p>
        </w:tc>
        <w:tc>
          <w:tcPr>
            <w:tcW w:type="dxa" w:w="2880"/>
          </w:tcPr>
          <w:p>
            <w:r>
              <w:t>7% – 11%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Needs Improvement</w:t>
            </w:r>
          </w:p>
        </w:tc>
        <w:tc>
          <w:tcPr>
            <w:tcW w:type="dxa" w:w="2880"/>
          </w:tcPr>
          <w:p>
            <w:r>
              <w:t>0% – 6%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Below Expectations</w:t>
            </w:r>
          </w:p>
        </w:tc>
        <w:tc>
          <w:tcPr>
            <w:tcW w:type="dxa" w:w="2880"/>
          </w:tcPr>
          <w:p>
            <w:r>
              <w:t>Performance Improvement Plan (PIP)</w:t>
            </w:r>
          </w:p>
        </w:tc>
      </w:tr>
    </w:tbl>
    <w:p/>
    <w:p>
      <w:pPr>
        <w:pStyle w:val="Heading1"/>
      </w:pPr>
      <w:r>
        <w:t>5. Compensation &amp; Benefits</w:t>
      </w:r>
    </w:p>
    <w:p>
      <w:r>
        <w:t>NimbusCloud offers a competitive total-compensation package, including:</w:t>
      </w:r>
    </w:p>
    <w:p>
      <w:pPr>
        <w:pStyle w:val="ListBullet"/>
      </w:pPr>
      <w:r>
        <w:t>Competitive base salary reviewed annually in January.</w:t>
      </w:r>
    </w:p>
    <w:p>
      <w:pPr>
        <w:pStyle w:val="ListBullet"/>
      </w:pPr>
      <w:r>
        <w:t>Performance bonus (variable pay) paid in February, based on the December review rating.</w:t>
      </w:r>
    </w:p>
    <w:p>
      <w:pPr>
        <w:pStyle w:val="ListBullet"/>
      </w:pPr>
      <w:r>
        <w:t>Employer provident fund (EPF) contribution of 12% of basic salary.</w:t>
      </w:r>
    </w:p>
    <w:p>
      <w:pPr>
        <w:pStyle w:val="ListBullet"/>
      </w:pPr>
      <w:r>
        <w:t>Medical insurance: ₹5,00,000 coverage for employee + 2 dependants (parents or spouse/children).</w:t>
      </w:r>
    </w:p>
    <w:p>
      <w:pPr>
        <w:pStyle w:val="ListBullet"/>
      </w:pPr>
      <w:r>
        <w:t>Internet &amp; home-office allowance of ₹2,000/month for remote employees.</w:t>
      </w:r>
    </w:p>
    <w:p>
      <w:pPr>
        <w:pStyle w:val="ListBullet"/>
      </w:pPr>
      <w:r>
        <w:t>Annual L&amp;D budget of ₹25,000 per employee for courses, certifications, and conferences.</w:t>
      </w:r>
    </w:p>
    <w:p>
      <w:pPr>
        <w:pStyle w:val="ListBullet"/>
      </w:pPr>
      <w:r>
        <w:t>Employee Stock Option Plan (ESOP) for Band 4 and above employees, vesting over 4 years.</w:t>
      </w:r>
    </w:p>
    <w:p>
      <w:pPr>
        <w:pStyle w:val="Heading1"/>
      </w:pPr>
      <w:r>
        <w:t>6. Grievance Redressal</w:t>
      </w:r>
    </w:p>
    <w:p>
      <w:r>
        <w:t>Employees with a workplace grievance should follow the escalation path below. All grievances are treated confidentially and without retaliation.</w:t>
      </w:r>
    </w:p>
    <w:p>
      <w:r>
        <w:t>1. Raise the issue informally with your reporting manager.</w:t>
      </w:r>
    </w:p>
    <w:p>
      <w:r>
        <w:t>2. If unresolved within 5 working days, submit a formal grievance via the HR Portal.</w:t>
      </w:r>
    </w:p>
    <w:p>
      <w:r>
        <w:t>3. HR acknowledges within 2 working days and appoints an investigating officer.</w:t>
      </w:r>
    </w:p>
    <w:p>
      <w:r>
        <w:t>4. An investigation is completed within 15 working days, with a written outcome shared with all parties.</w:t>
      </w:r>
    </w:p>
    <w:p>
      <w:r>
        <w:t>5. If unsatisfied, the employee may appeal to the VP of HR within 5 working days of the outcome.</w:t>
      </w:r>
    </w:p>
    <w:p>
      <w:pPr>
        <w:pStyle w:val="Heading1"/>
      </w:pPr>
      <w:r>
        <w:t>7. Separation Policy</w:t>
      </w:r>
    </w:p>
    <w:p>
      <w:r>
        <w:t>Employees wishing to resign must serve a notice period commensurate with their band level, as detailed below. Notice period buy-out is permitted with manager and HR approval.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Band</w:t>
            </w:r>
          </w:p>
        </w:tc>
        <w:tc>
          <w:tcPr>
            <w:tcW w:type="dxa" w:w="4320"/>
          </w:tcPr>
          <w:p>
            <w:r>
              <w:t>Notice Period</w:t>
            </w:r>
          </w:p>
        </w:tc>
      </w:tr>
      <w:tr>
        <w:tc>
          <w:tcPr>
            <w:tcW w:type="dxa" w:w="4320"/>
          </w:tcPr>
          <w:p>
            <w:r>
              <w:t>Band 1–3 (Individual Contributors)</w:t>
            </w:r>
          </w:p>
        </w:tc>
        <w:tc>
          <w:tcPr>
            <w:tcW w:type="dxa" w:w="4320"/>
          </w:tcPr>
          <w:p>
            <w:r>
              <w:t>30 days</w:t>
            </w:r>
          </w:p>
        </w:tc>
      </w:tr>
      <w:tr>
        <w:tc>
          <w:tcPr>
            <w:tcW w:type="dxa" w:w="4320"/>
          </w:tcPr>
          <w:p>
            <w:r>
              <w:t>Band 4–6 (Senior/Lead)</w:t>
            </w:r>
          </w:p>
        </w:tc>
        <w:tc>
          <w:tcPr>
            <w:tcW w:type="dxa" w:w="4320"/>
          </w:tcPr>
          <w:p>
            <w:r>
              <w:t>60 days</w:t>
            </w:r>
          </w:p>
        </w:tc>
      </w:tr>
      <w:tr>
        <w:tc>
          <w:tcPr>
            <w:tcW w:type="dxa" w:w="4320"/>
          </w:tcPr>
          <w:p>
            <w:r>
              <w:t>Band 7+ (Director and above)</w:t>
            </w:r>
          </w:p>
        </w:tc>
        <w:tc>
          <w:tcPr>
            <w:tcW w:type="dxa" w:w="4320"/>
          </w:tcPr>
          <w:p>
            <w:r>
              <w:t>90 days</w:t>
            </w:r>
          </w:p>
        </w:tc>
      </w:tr>
    </w:tbl>
    <w:p/>
    <w:p>
      <w:r>
        <w:rPr>
          <w:i/>
        </w:rPr>
        <w:t>NimbusCloud Technologies Pvt Ltd — Internal &amp; Confidential</w:t>
        <w:br/>
        <w:t>HR_Policy.docx | HR-POL-001 v3.2 | 01-Apr-2026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