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Internal Process Playbook</w:t>
      </w:r>
    </w:p>
    <w:p>
      <w:pPr>
        <w:jc w:val="center"/>
      </w:pPr>
      <w:r>
        <w:rPr>
          <w:b/>
        </w:rPr>
        <w:t>NimbusCloud Technologies Pvt Ltd — Operations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Document Code</w:t>
            </w:r>
          </w:p>
        </w:tc>
        <w:tc>
          <w:tcPr>
            <w:tcW w:type="dxa" w:w="2160"/>
          </w:tcPr>
          <w:p>
            <w:r>
              <w:t>OPS-PROC-033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v2.1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05-May-2026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Head of Operations</w:t>
            </w:r>
          </w:p>
        </w:tc>
      </w:tr>
    </w:tbl>
    <w:p/>
    <w:p>
      <w:pPr>
        <w:pStyle w:val="Heading1"/>
      </w:pPr>
      <w:r>
        <w:t>1. New Employee Onboarding Process</w:t>
      </w:r>
    </w:p>
    <w:p>
      <w:r>
        <w:t>This process ensures every new hire is productive within their first 90 days.</w:t>
      </w:r>
    </w:p>
    <w:p>
      <w:pPr>
        <w:pStyle w:val="Heading2"/>
      </w:pPr>
      <w:r>
        <w:t>1.1 Day 1</w:t>
      </w:r>
    </w:p>
    <w:p>
      <w:pPr>
        <w:pStyle w:val="ListBullet"/>
      </w:pPr>
      <w:r>
        <w:t>IT provisions laptop, email account, and access to core systems (HR portal, Slack, project tracker) before the employee's start date.</w:t>
      </w:r>
    </w:p>
    <w:p>
      <w:pPr>
        <w:pStyle w:val="ListBullet"/>
      </w:pPr>
      <w:r>
        <w:t>HR conducts a welcome orientation covering policies, benefits enrollment, and facility tour (or virtual equivalent).</w:t>
      </w:r>
    </w:p>
    <w:p>
      <w:pPr>
        <w:pStyle w:val="ListBullet"/>
      </w:pPr>
      <w:r>
        <w:t>A buddy from the new hire's team is assigned to help with day-to-day questions for the first 4 weeks.</w:t>
      </w:r>
    </w:p>
    <w:p>
      <w:pPr>
        <w:pStyle w:val="Heading2"/>
      </w:pPr>
      <w:r>
        <w:t>1.2 30-60-90 Day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Focus</w:t>
            </w:r>
          </w:p>
        </w:tc>
      </w:tr>
      <w:tr>
        <w:tc>
          <w:tcPr>
            <w:tcW w:type="dxa" w:w="4320"/>
          </w:tcPr>
          <w:p>
            <w:r>
              <w:t>Days 1–30</w:t>
            </w:r>
          </w:p>
        </w:tc>
        <w:tc>
          <w:tcPr>
            <w:tcW w:type="dxa" w:w="4320"/>
          </w:tcPr>
          <w:p>
            <w:r>
              <w:t>Complete mandatory compliance training; shadow team members; understand team goals and tools.</w:t>
            </w:r>
          </w:p>
        </w:tc>
      </w:tr>
      <w:tr>
        <w:tc>
          <w:tcPr>
            <w:tcW w:type="dxa" w:w="4320"/>
          </w:tcPr>
          <w:p>
            <w:r>
              <w:t>Days 31–60</w:t>
            </w:r>
          </w:p>
        </w:tc>
        <w:tc>
          <w:tcPr>
            <w:tcW w:type="dxa" w:w="4320"/>
          </w:tcPr>
          <w:p>
            <w:r>
              <w:t>Take ownership of small, well-defined tasks with close manager guidance.</w:t>
            </w:r>
          </w:p>
        </w:tc>
      </w:tr>
      <w:tr>
        <w:tc>
          <w:tcPr>
            <w:tcW w:type="dxa" w:w="4320"/>
          </w:tcPr>
          <w:p>
            <w:r>
              <w:t>Days 61–90</w:t>
            </w:r>
          </w:p>
        </w:tc>
        <w:tc>
          <w:tcPr>
            <w:tcW w:type="dxa" w:w="4320"/>
          </w:tcPr>
          <w:p>
            <w:r>
              <w:t>Operate with increasing independence; first informal check-in on performance with manager.</w:t>
            </w:r>
          </w:p>
        </w:tc>
      </w:tr>
    </w:tbl>
    <w:p/>
    <w:p>
      <w:pPr>
        <w:pStyle w:val="Heading1"/>
      </w:pPr>
      <w:r>
        <w:t>2. Expense Reimbursement Process</w:t>
      </w:r>
    </w:p>
    <w:p>
      <w:r>
        <w:t>Employees may claim reimbursement for pre-approved business expenses (travel, client meals, approved software subscriptions, etc.).</w:t>
      </w:r>
    </w:p>
    <w:p>
      <w:r>
        <w:t>1. Submit the expense claim with itemized receipts through the Expense Portal within 30 days of incurring the expense.</w:t>
      </w:r>
    </w:p>
    <w:p>
      <w:r>
        <w:t>2. Claims are routed automatically to the employee's reporting manager for approval.</w:t>
      </w:r>
    </w:p>
    <w:p>
      <w:r>
        <w:t>3. Approved claims are reimbursed in the next payroll cycle, typically within 15 working days of approval.</w:t>
      </w:r>
    </w:p>
    <w:p>
      <w:r>
        <w:t>4. Claims submitted after 30 days require additional Finance sign-off and may be rejected at Finance's discretion.</w:t>
      </w:r>
    </w:p>
    <w:p>
      <w:pPr>
        <w:pStyle w:val="Heading2"/>
      </w:pPr>
      <w:r>
        <w:t>2.1 Approval Thresholds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Expense Amount</w:t>
            </w:r>
          </w:p>
        </w:tc>
        <w:tc>
          <w:tcPr>
            <w:tcW w:type="dxa" w:w="4320"/>
          </w:tcPr>
          <w:p>
            <w:r>
              <w:t>Required Approval</w:t>
            </w:r>
          </w:p>
        </w:tc>
      </w:tr>
      <w:tr>
        <w:tc>
          <w:tcPr>
            <w:tcW w:type="dxa" w:w="4320"/>
          </w:tcPr>
          <w:p>
            <w:r>
              <w:t>Up to ₹10,000</w:t>
            </w:r>
          </w:p>
        </w:tc>
        <w:tc>
          <w:tcPr>
            <w:tcW w:type="dxa" w:w="4320"/>
          </w:tcPr>
          <w:p>
            <w:r>
              <w:t>Reporting Manager</w:t>
            </w:r>
          </w:p>
        </w:tc>
      </w:tr>
      <w:tr>
        <w:tc>
          <w:tcPr>
            <w:tcW w:type="dxa" w:w="4320"/>
          </w:tcPr>
          <w:p>
            <w:r>
              <w:t>₹10,001 – ₹50,000</w:t>
            </w:r>
          </w:p>
        </w:tc>
        <w:tc>
          <w:tcPr>
            <w:tcW w:type="dxa" w:w="4320"/>
          </w:tcPr>
          <w:p>
            <w:r>
              <w:t>Reporting Manager + Department Head</w:t>
            </w:r>
          </w:p>
        </w:tc>
      </w:tr>
      <w:tr>
        <w:tc>
          <w:tcPr>
            <w:tcW w:type="dxa" w:w="4320"/>
          </w:tcPr>
          <w:p>
            <w:r>
              <w:t>Above ₹50,000</w:t>
            </w:r>
          </w:p>
        </w:tc>
        <w:tc>
          <w:tcPr>
            <w:tcW w:type="dxa" w:w="4320"/>
          </w:tcPr>
          <w:p>
            <w:r>
              <w:t>Department Head + Finance Controller</w:t>
            </w:r>
          </w:p>
        </w:tc>
      </w:tr>
    </w:tbl>
    <w:p/>
    <w:p>
      <w:pPr>
        <w:pStyle w:val="Heading1"/>
      </w:pPr>
      <w:r>
        <w:t>3. IT Incident Escalation Process</w:t>
      </w:r>
    </w:p>
    <w:p>
      <w:r>
        <w:t>All production incidents are classified by severity (P1–P4) and follow a defined escalation path to ensure timely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Initial Response</w:t>
            </w:r>
          </w:p>
        </w:tc>
        <w:tc>
          <w:tcPr>
            <w:tcW w:type="dxa" w:w="2160"/>
          </w:tcPr>
          <w:p>
            <w:r>
              <w:t>Escalation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Full outage / critical data integrity issue</w:t>
            </w:r>
          </w:p>
        </w:tc>
        <w:tc>
          <w:tcPr>
            <w:tcW w:type="dxa" w:w="2160"/>
          </w:tcPr>
          <w:p>
            <w:r>
              <w:t>15 minutes</w:t>
            </w:r>
          </w:p>
        </w:tc>
        <w:tc>
          <w:tcPr>
            <w:tcW w:type="dxa" w:w="2160"/>
          </w:tcPr>
          <w:p>
            <w:r>
              <w:t>Immediate page to on-call engineer + Engineering Manager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Major functionality degraded for many users</w:t>
            </w:r>
          </w:p>
        </w:tc>
        <w:tc>
          <w:tcPr>
            <w:tcW w:type="dxa" w:w="2160"/>
          </w:tcPr>
          <w:p>
            <w:r>
              <w:t>30 minutes</w:t>
            </w:r>
          </w:p>
        </w:tc>
        <w:tc>
          <w:tcPr>
            <w:tcW w:type="dxa" w:w="2160"/>
          </w:tcPr>
          <w:p>
            <w:r>
              <w:t>Page to on-call engineer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Minor functionality issue, limited impact</w:t>
            </w:r>
          </w:p>
        </w:tc>
        <w:tc>
          <w:tcPr>
            <w:tcW w:type="dxa" w:w="2160"/>
          </w:tcPr>
          <w:p>
            <w:r>
              <w:t>4 hours</w:t>
            </w:r>
          </w:p>
        </w:tc>
        <w:tc>
          <w:tcPr>
            <w:tcW w:type="dxa" w:w="2160"/>
          </w:tcPr>
          <w:p>
            <w:r>
              <w:t>Logged for next business day triage</w:t>
            </w:r>
          </w:p>
        </w:tc>
      </w:tr>
      <w:tr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Cosmetic or low-impact issue</w:t>
            </w:r>
          </w:p>
        </w:tc>
        <w:tc>
          <w:tcPr>
            <w:tcW w:type="dxa" w:w="2160"/>
          </w:tcPr>
          <w:p>
            <w:r>
              <w:t>1 business day</w:t>
            </w:r>
          </w:p>
        </w:tc>
        <w:tc>
          <w:tcPr>
            <w:tcW w:type="dxa" w:w="2160"/>
          </w:tcPr>
          <w:p>
            <w:r>
              <w:t>Added to backlog</w:t>
            </w:r>
          </w:p>
        </w:tc>
      </w:tr>
    </w:tbl>
    <w:p/>
    <w:p>
      <w:r>
        <w:t>A post-incident review (PIR) is mandatory for all P1 and P2 incidents within 5 business days of resolution, documenting root cause, impact, and corrective actions.</w:t>
      </w:r>
    </w:p>
    <w:p>
      <w:pPr>
        <w:pStyle w:val="Heading1"/>
      </w:pPr>
      <w:r>
        <w:t>4. Procurement Process</w:t>
      </w:r>
    </w:p>
    <w:p>
      <w:r>
        <w:t>All new vendors must complete vendor onboarding, including a security questionnaire, before any purchase order is raised.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Purchase Order Value</w:t>
            </w:r>
          </w:p>
        </w:tc>
        <w:tc>
          <w:tcPr>
            <w:tcW w:type="dxa" w:w="4320"/>
          </w:tcPr>
          <w:p>
            <w:r>
              <w:t>Required Sign-off</w:t>
            </w:r>
          </w:p>
        </w:tc>
      </w:tr>
      <w:tr>
        <w:tc>
          <w:tcPr>
            <w:tcW w:type="dxa" w:w="4320"/>
          </w:tcPr>
          <w:p>
            <w:r>
              <w:t>Up to ₹50,000</w:t>
            </w:r>
          </w:p>
        </w:tc>
        <w:tc>
          <w:tcPr>
            <w:tcW w:type="dxa" w:w="4320"/>
          </w:tcPr>
          <w:p>
            <w:r>
              <w:t>Department Manager</w:t>
            </w:r>
          </w:p>
        </w:tc>
      </w:tr>
      <w:tr>
        <w:tc>
          <w:tcPr>
            <w:tcW w:type="dxa" w:w="4320"/>
          </w:tcPr>
          <w:p>
            <w:r>
              <w:t>₹50,001 – ₹2,00,000</w:t>
            </w:r>
          </w:p>
        </w:tc>
        <w:tc>
          <w:tcPr>
            <w:tcW w:type="dxa" w:w="4320"/>
          </w:tcPr>
          <w:p>
            <w:r>
              <w:t>Director</w:t>
            </w:r>
          </w:p>
        </w:tc>
      </w:tr>
      <w:tr>
        <w:tc>
          <w:tcPr>
            <w:tcW w:type="dxa" w:w="4320"/>
          </w:tcPr>
          <w:p>
            <w:r>
              <w:t>Above ₹2,00,000</w:t>
            </w:r>
          </w:p>
        </w:tc>
        <w:tc>
          <w:tcPr>
            <w:tcW w:type="dxa" w:w="4320"/>
          </w:tcPr>
          <w:p>
            <w:r>
              <w:t>VP + Finance Controller</w:t>
            </w:r>
          </w:p>
        </w:tc>
      </w:tr>
    </w:tbl>
    <w:p/>
    <w:p>
      <w:pPr>
        <w:pStyle w:val="Heading1"/>
      </w:pPr>
      <w:r>
        <w:t>5. Customer Complaint Handling Process</w:t>
      </w:r>
    </w:p>
    <w:p>
      <w:r>
        <w:t>1. All complaints received via support channels are logged in the CRM within 1 hour of receipt.</w:t>
      </w:r>
    </w:p>
    <w:p>
      <w:r>
        <w:t>2. Complaints are triaged and assigned an owner within 4 business hours.</w:t>
      </w:r>
    </w:p>
    <w:p>
      <w:r>
        <w:t>3. Customer Success provides an acknowledgement to the customer within 24 hours, including an expected resolution timeline.</w:t>
      </w:r>
    </w:p>
    <w:p>
      <w:r>
        <w:t>4. Unresolved complaints older than 5 business days are automatically escalated to the Customer Success Lead.</w:t>
      </w:r>
    </w:p>
    <w:p>
      <w:r>
        <w:t>5. All complaint resolutions are logged with root cause tags for monthly trend reporting to leadership.</w:t>
      </w:r>
    </w:p>
    <w:p>
      <w:pPr>
        <w:pStyle w:val="Heading1"/>
      </w:pPr>
      <w:r>
        <w:t>6. Vendor Onboarding Process</w:t>
      </w:r>
    </w:p>
    <w:p>
      <w:r>
        <w:t>1. Requesting department submits a Vendor Request Form including business justification.</w:t>
      </w:r>
    </w:p>
    <w:p>
      <w:r>
        <w:t>2. Procurement runs a security and financial-stability check on the vendor.</w:t>
      </w:r>
    </w:p>
    <w:p>
      <w:r>
        <w:t>3. Legal reviews and negotiates the contract, including a Data Processing Agreement if the vendor will access customer or employee data.</w:t>
      </w:r>
    </w:p>
    <w:p>
      <w:r>
        <w:t>4. Finance sets up the vendor in the payment system.</w:t>
      </w:r>
    </w:p>
    <w:p>
      <w:r>
        <w:t>5. Vendor is added to the Approved Vendor List, reviewed annually.</w:t>
      </w:r>
    </w:p>
    <w:p>
      <w:pPr>
        <w:pStyle w:val="Heading1"/>
      </w:pPr>
      <w:r>
        <w:t>7. Release Management Process</w:t>
      </w:r>
    </w:p>
    <w:p>
      <w:pPr>
        <w:pStyle w:val="ListBullet"/>
      </w:pPr>
      <w:r>
        <w:t>Feature freeze occurs 5 business days before a planned release.</w:t>
      </w:r>
    </w:p>
    <w:p>
      <w:pPr>
        <w:pStyle w:val="ListBullet"/>
      </w:pPr>
      <w:r>
        <w:t>Release candidates are deployed to a staging environment for QA sign-off.</w:t>
      </w:r>
    </w:p>
    <w:p>
      <w:pPr>
        <w:pStyle w:val="ListBullet"/>
      </w:pPr>
      <w:r>
        <w:t>Releases are deployed using the staged rollout described in the Technical &amp; Operations Guide (ENG-TECH-027, Section 10).</w:t>
      </w:r>
    </w:p>
    <w:p>
      <w:pPr>
        <w:pStyle w:val="ListBullet"/>
      </w:pPr>
      <w:r>
        <w:t>Release notes are published to customers within 24 hours of a feature reaching 100% rollout.</w:t>
      </w:r>
    </w:p>
    <w:p>
      <w:pPr>
        <w:pStyle w:val="Heading1"/>
      </w:pPr>
      <w:r>
        <w:t>8. Internal Communication Process</w:t>
      </w:r>
    </w:p>
    <w:p>
      <w:r>
        <w:t>Company-wide announcements are made via the #announcements Slack channel and the monthly All-Hands meeting. Urgent operational updates (e.g., major incidents) are additionally sent via email to ensure visibility for employees not actively on Slack.</w:t>
      </w:r>
    </w:p>
    <w:p/>
    <w:p>
      <w:r>
        <w:rPr>
          <w:i/>
        </w:rPr>
        <w:t>NimbusCloud Technologies Pvt Ltd — Internal &amp; Confidential</w:t>
        <w:br/>
        <w:t>Process_Documents.docx | OPS-PROC-033 v2.1 | 05-May-2026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