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20" w:before="40"/>
              <w:jc w:val="center"/>
            </w:pPr>
            <w:r>
              <w:rPr>
                <w:rFonts w:ascii="Arial" w:cs="Arial" w:eastAsia="Arial" w:hAnsi="Arial"/>
                <w:b/>
                <w:bCs/>
                <w:color w:val="888888"/>
                <w:sz w:val="20"/>
                <w:szCs w:val="20"/>
              </w:rPr>
              <w:t xml:space="preserve">CO-FOUNDER STRATEGY BRIEF  |  LEGAL-TECHAI</w:t>
            </w:r>
          </w:p>
          <w:p>
            <w:pPr>
              <w:spacing w:after="10" w:before="20"/>
              <w:jc w:val="center"/>
            </w:pPr>
            <w:r>
              <w:rPr>
                <w:rFonts w:ascii="Arial" w:cs="Arial" w:eastAsia="Arial" w:hAnsi="Arial"/>
                <w:b/>
                <w:bCs/>
                <w:color w:val="1F3864"/>
                <w:sz w:val="48"/>
                <w:szCs w:val="48"/>
              </w:rPr>
              <w:t xml:space="preserve">BUILDING ON GIANTS</w:t>
            </w:r>
          </w:p>
          <w:p>
            <w:pPr>
              <w:spacing w:after="10" w:before="0"/>
              <w:jc w:val="center"/>
            </w:pPr>
            <w:r>
              <w:rPr>
                <w:rFonts w:ascii="Arial" w:cs="Arial" w:eastAsia="Arial" w:hAnsi="Arial"/>
                <w:b/>
                <w:bCs/>
                <w:color w:val="2E74B5"/>
                <w:sz w:val="26"/>
                <w:szCs w:val="26"/>
              </w:rPr>
              <w:t xml:space="preserve">How Estonia, Singapore &amp; China Built Digital Legal Ecosystems</w:t>
            </w:r>
          </w:p>
          <w:p>
            <w:pPr>
              <w:spacing w:after="40" w:before="0"/>
              <w:jc w:val="center"/>
            </w:pPr>
            <w:r>
              <w:rPr>
                <w:rFonts w:ascii="Arial" w:cs="Arial" w:eastAsia="Arial" w:hAnsi="Arial"/>
                <w:i/>
                <w:iCs/>
                <w:color w:val="555555"/>
                <w:sz w:val="22"/>
                <w:szCs w:val="22"/>
              </w:rPr>
              <w:t xml:space="preserve">And What Legal-TechAI Must Learn From Each of Them</w:t>
            </w:r>
          </w:p>
          <w:p>
            <w:pPr>
              <w:spacing w:after="60" w:before="0"/>
              <w:jc w:val="center"/>
            </w:pPr>
            <w:r>
              <w:rPr>
                <w:rFonts w:ascii="Arial" w:cs="Arial" w:eastAsia="Arial" w:hAnsi="Arial"/>
                <w:color w:val="888888"/>
                <w:sz w:val="18"/>
                <w:szCs w:val="18"/>
              </w:rPr>
              <w:t xml:space="preserve">Internal Strategy Document  •  July 2026  •  Confidential</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03087"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Part 1</w:t>
            </w:r>
          </w:p>
          <w:p>
            <w:pPr>
              <w:jc w:val="center"/>
            </w:pPr>
            <w:r>
              <w:rPr>
                <w:rFonts w:ascii="Arial" w:cs="Arial" w:eastAsia="Arial" w:hAnsi="Arial"/>
                <w:b/>
                <w:bCs/>
                <w:color w:val="FFFFFF"/>
                <w:sz w:val="18"/>
                <w:szCs w:val="18"/>
              </w:rPr>
              <w:t xml:space="preserve">Estonia</w:t>
            </w:r>
          </w:p>
        </w:tc>
        <w:tc>
          <w:tcPr>
            <w:tcW w:type="dxa" w:w="1872"/>
            <w:tcBorders>
              <w:top w:val="none" w:color="FFFFFF" w:sz="0"/>
              <w:left w:val="none" w:color="FFFFFF" w:sz="0"/>
              <w:bottom w:val="none" w:color="FFFFFF" w:sz="0"/>
              <w:right w:val="none" w:color="FFFFFF" w:sz="0"/>
            </w:tcBorders>
            <w:shd w:fill="BF600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Part 2</w:t>
            </w:r>
          </w:p>
          <w:p>
            <w:pPr>
              <w:jc w:val="center"/>
            </w:pPr>
            <w:r>
              <w:rPr>
                <w:rFonts w:ascii="Arial" w:cs="Arial" w:eastAsia="Arial" w:hAnsi="Arial"/>
                <w:b/>
                <w:bCs/>
                <w:color w:val="FFFFFF"/>
                <w:sz w:val="18"/>
                <w:szCs w:val="18"/>
              </w:rPr>
              <w:t xml:space="preserve">Singapore</w:t>
            </w:r>
          </w:p>
        </w:tc>
        <w:tc>
          <w:tcPr>
            <w:tcW w:type="dxa" w:w="1872"/>
            <w:tcBorders>
              <w:top w:val="none" w:color="FFFFFF" w:sz="0"/>
              <w:left w:val="none" w:color="FFFFFF" w:sz="0"/>
              <w:bottom w:val="none" w:color="FFFFFF" w:sz="0"/>
              <w:right w:val="none" w:color="FFFFFF" w:sz="0"/>
            </w:tcBorders>
            <w:shd w:fill="DE2910"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Part 3</w:t>
            </w:r>
          </w:p>
          <w:p>
            <w:pPr>
              <w:jc w:val="center"/>
            </w:pPr>
            <w:r>
              <w:rPr>
                <w:rFonts w:ascii="Arial" w:cs="Arial" w:eastAsia="Arial" w:hAnsi="Arial"/>
                <w:b/>
                <w:bCs/>
                <w:color w:val="FFFFFF"/>
                <w:sz w:val="18"/>
                <w:szCs w:val="18"/>
              </w:rPr>
              <w:t xml:space="preserve">China</w:t>
            </w:r>
          </w:p>
        </w:tc>
        <w:tc>
          <w:tcPr>
            <w:tcW w:type="dxa" w:w="1872"/>
            <w:tcBorders>
              <w:top w:val="none" w:color="FFFFFF" w:sz="0"/>
              <w:left w:val="none" w:color="FFFFFF" w:sz="0"/>
              <w:bottom w:val="none" w:color="FFFFFF" w:sz="0"/>
              <w:right w:val="none" w:color="FFFFFF" w:sz="0"/>
            </w:tcBorders>
            <w:shd w:fill="2E405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Part 4</w:t>
            </w:r>
          </w:p>
          <w:p>
            <w:pPr>
              <w:jc w:val="center"/>
            </w:pPr>
            <w:r>
              <w:rPr>
                <w:rFonts w:ascii="Arial" w:cs="Arial" w:eastAsia="Arial" w:hAnsi="Arial"/>
                <w:b/>
                <w:bCs/>
                <w:color w:val="FFFFFF"/>
                <w:sz w:val="18"/>
                <w:szCs w:val="18"/>
              </w:rPr>
              <w:t xml:space="preserve">India</w:t>
            </w:r>
          </w:p>
        </w:tc>
        <w:tc>
          <w:tcPr>
            <w:tcW w:type="dxa" w:w="1872"/>
            <w:tcBorders>
              <w:top w:val="none" w:color="FFFFFF" w:sz="0"/>
              <w:left w:val="none" w:color="FFFFFF" w:sz="0"/>
              <w:bottom w:val="none" w:color="FFFFFF" w:sz="0"/>
              <w:right w:val="none" w:color="FFFFFF" w:sz="0"/>
            </w:tcBorders>
            <w:shd w:fill="375623" w:val="clear"/>
            <w:tcMar>
              <w:top w:type="dxa" w:w="80"/>
              <w:left w:type="dxa" w:w="60"/>
              <w:bottom w:type="dxa" w:w="80"/>
              <w:right w:type="dxa" w:w="60"/>
            </w:tcMar>
          </w:tcPr>
          <w:p>
            <w:pPr>
              <w:jc w:val="center"/>
            </w:pPr>
            <w:r>
              <w:rPr>
                <w:rFonts w:ascii="Arial" w:cs="Arial" w:eastAsia="Arial" w:hAnsi="Arial"/>
                <w:b/>
                <w:bCs/>
                <w:color w:val="FFFFFF"/>
                <w:sz w:val="16"/>
                <w:szCs w:val="16"/>
              </w:rPr>
              <w:t xml:space="preserve">Parts 5–6</w:t>
            </w:r>
          </w:p>
          <w:p>
            <w:pPr>
              <w:jc w:val="center"/>
            </w:pPr>
            <w:r>
              <w:rPr>
                <w:rFonts w:ascii="Arial" w:cs="Arial" w:eastAsia="Arial" w:hAnsi="Arial"/>
                <w:b/>
                <w:bCs/>
                <w:color w:val="FFFFFF"/>
                <w:sz w:val="18"/>
                <w:szCs w:val="18"/>
              </w:rPr>
              <w:t xml:space="preserve">Synthesis + Roadmap</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i/>
                <w:iCs/>
                <w:color w:val="444444"/>
                <w:sz w:val="22"/>
                <w:szCs w:val="22"/>
              </w:rPr>
              <w:t xml:space="preserve">This document is an evidence-based strategic brief. Every number is sourced. Every lesson is grounded in real execution. The goal: give Legal-TechAI the strategic depth that takes other companies a decade to learn.</w:t>
            </w:r>
          </w:p>
        </w:tc>
      </w:tr>
    </w:tbl>
    <w:p>
      <w:pPr>
        <w:spacing w:after="0" w:before="8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087"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1</w:t>
            </w:r>
          </w:p>
          <w:p>
            <w:pPr>
              <w:jc w:val="center"/>
            </w:pPr>
            <w:r>
              <w:rPr>
                <w:rFonts w:ascii="Arial" w:cs="Arial" w:eastAsia="Arial" w:hAnsi="Arial"/>
                <w:b/>
                <w:bCs/>
                <w:color w:val="FFFFFF"/>
                <w:sz w:val="32"/>
                <w:szCs w:val="32"/>
              </w:rPr>
              <w:t xml:space="preserve">ESTONIA: THE WORLD'S FIRST DIGITAL REPUBLIC</w:t>
            </w:r>
          </w:p>
        </w:tc>
      </w:tr>
    </w:tbl>
    <w:p>
      <w:pPr>
        <w:spacing w:after="0" w:before="80"/>
      </w:pPr>
    </w:p>
    <w:p>
      <w:pPr>
        <w:pStyle w:val="Heading1"/>
      </w:pPr>
      <w:r>
        <w:rPr>
          <w:rFonts w:ascii="Arial" w:cs="Arial" w:eastAsia="Arial" w:hAnsi="Arial"/>
          <w:b/>
          <w:bCs/>
          <w:color w:val="1F3864"/>
          <w:sz w:val="32"/>
          <w:szCs w:val="32"/>
        </w:rPr>
        <w:t xml:space="preserve">1.1 — STARTING POINT: THE ADVANTAGE OF EMPTINESS</w:t>
      </w:r>
    </w:p>
    <w:p>
      <w:pPr>
        <w:spacing w:after="80" w:before="80"/>
      </w:pPr>
      <w:r>
        <w:rPr>
          <w:rFonts w:ascii="Arial" w:cs="Arial" w:eastAsia="Arial" w:hAnsi="Arial"/>
          <w:sz w:val="22"/>
          <w:szCs w:val="22"/>
        </w:rPr>
        <w:t xml:space="preserve">In August 1991, Estonia declared independence from the Soviet Union. What it inherited was catastrophic by conventional measures: no functioning national currency, no modern banking system, Soviet-era infrastructure, and a public administration that had been a branch of Moscow's bureaucracy for 50 years. GDP fell 35% in three years.</w:t>
      </w:r>
    </w:p>
    <w:p>
      <w:pPr>
        <w:spacing w:after="80" w:before="80"/>
      </w:pPr>
      <w:r>
        <w:rPr>
          <w:rFonts w:ascii="Arial" w:cs="Arial" w:eastAsia="Arial" w:hAnsi="Arial"/>
          <w:sz w:val="22"/>
          <w:szCs w:val="22"/>
        </w:rPr>
        <w:t xml:space="preserve">But Estonia had one invisible advantage: no legacy IT infrastructure to defend. No incumbent vendors lobbying against reform. No entrenched paper-based bureaucracy with powerful unions protecting the status quo. Estonia could start from scratch.</w:t>
      </w:r>
    </w:p>
    <w:p>
      <w:pPr>
        <w:spacing w:after="80" w:before="80"/>
      </w:pPr>
      <w:r>
        <w:rPr>
          <w:rFonts w:ascii="Arial" w:cs="Arial" w:eastAsia="Arial" w:hAnsi="Arial"/>
          <w:sz w:val="22"/>
          <w:szCs w:val="22"/>
        </w:rPr>
        <w:t xml:space="preserve">The founding decision that shaped everything was made in 1994: the Tiger Leap Foundation committed to putting a computer in every school within 5 years. By 1998, 97% of Estonian schools had internet access. A generation of Estonians grew up digitally native. This was a deliberate national choice made before digital infrastructure existed.</w:t>
      </w:r>
    </w:p>
    <w:p>
      <w:pPr>
        <w:spacing w:after="80" w:before="80"/>
      </w:pPr>
      <w:r>
        <w:rPr>
          <w:rFonts w:ascii="Arial" w:cs="Arial" w:eastAsia="Arial" w:hAnsi="Arial"/>
          <w:sz w:val="22"/>
          <w:szCs w:val="22"/>
        </w:rPr>
        <w:t xml:space="preserve">President Lennart Meri stated it plainly: 'We had to leap over the West, not catch up to it.' That orientation — using technology to bypass decades of analog development — is the single most transferable idea for Legal-TechAI.</w:t>
      </w:r>
    </w:p>
    <w:p>
      <w:pPr>
        <w:spacing w:after="0" w:before="80"/>
      </w:pPr>
    </w:p>
    <w:p>
      <w:pPr>
        <w:pStyle w:val="Heading1"/>
      </w:pPr>
      <w:r>
        <w:rPr>
          <w:rFonts w:ascii="Arial" w:cs="Arial" w:eastAsia="Arial" w:hAnsi="Arial"/>
          <w:b/>
          <w:bCs/>
          <w:color w:val="1F3864"/>
          <w:sz w:val="32"/>
          <w:szCs w:val="32"/>
        </w:rPr>
        <w:t xml:space="preserve">1.2 — THE ESTONIA TIMELINE: 30 YEARS OF CONSISTENT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8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1991</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Independence from USSR. No legacy IT. GDP contracts 35%. GDP per capita approximately $3,500.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1992</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Kroon (national currency) launched. Hansapank launches internet banking — first bank in Europe to do so.</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1994</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Tiger Leap Foundation: computers to every school. 97% school internet by 1998.</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1996</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e-Tax Board: online tax filing. Within 2 years, 95% of tax returns filed online.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1997</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Internet banking: 97% of all Estonian bank transactions online within 3 years.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2000</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Digital Signatures Act: world’s first national law making digital signatures legally equivalent to wet signatures. This single law unblocked the entire e-government stack.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2001</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X-Road launched: secure, federated data exchange layer. NOT a central database. A protocol connecting independent government databases.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2002</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National ID card with chip: every citizen issued a smart card with digital signature capability. Mandatory.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2005</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First country with legally binding national online voting. 1.9% of eligible voters vote online in 2005. By 2023: 51% of all votes are cast online.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2007</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'Web War I': Russia-linked DDoS attacks on government, banks, media for 3 weeks. Response: NATO CCD COE established in Tallinn. KSI blockchain concept developed.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2008</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Data Embassy concept: Estonia’s critical government data backed up in servers in Luxembourg and UK so the state survives even physical occupation.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2012</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KSI Blockchain (Guardtime): first country to apply blockchain to government records. Applied to succession registry, then healthcare, property, business, court records.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2014</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e-Residency: non-Estonians can get Estonian digital identity. 100,000+ e-residents by 2020. $1.7B+ in tax revenue from e-resident companies by 2022.</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2016</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Data Embassy Act enacted. X-Road federated with Finland. Open-sourced X-Road code.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2021</w:t>
            </w:r>
          </w:p>
        </w:tc>
        <w:tc>
          <w:tcPr>
            <w:tcW w:type="dxa" w:w="8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99% of public services online. 2% GDP savings from digital signatures alone. 175+ government delegations from 85 countries visit e-Estonia.</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003087"/>
                <w:sz w:val="20"/>
                <w:szCs w:val="20"/>
              </w:rPr>
              <w:t xml:space="preserve">2023</w:t>
            </w:r>
          </w:p>
        </w:tc>
        <w:tc>
          <w:tcPr>
            <w:tcW w:type="dxa" w:w="8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Transparency International: Estonia ranked #12 globally (CPI). OECD Digital Government Index: 0.74 vs OECD average 0.61.</w:t>
            </w:r>
          </w:p>
        </w:tc>
      </w:tr>
    </w:tbl>
    <w:p>
      <w:pPr>
        <w:spacing w:after="0" w:before="80"/>
      </w:pPr>
    </w:p>
    <w:p>
      <w:pPr>
        <w:pStyle w:val="Heading1"/>
      </w:pPr>
      <w:r>
        <w:rPr>
          <w:rFonts w:ascii="Arial" w:cs="Arial" w:eastAsia="Arial" w:hAnsi="Arial"/>
          <w:b/>
          <w:bCs/>
          <w:color w:val="1F3864"/>
          <w:sz w:val="32"/>
          <w:szCs w:val="32"/>
        </w:rPr>
        <w:t xml:space="preserve">1.3 — X-ROAD: THE ARCHITECTURE DECISION THAT MADE EVERYTHING POSSIBLE</w:t>
      </w:r>
    </w:p>
    <w:p>
      <w:pPr>
        <w:spacing w:after="80" w:before="80"/>
      </w:pPr>
      <w:r>
        <w:rPr>
          <w:rFonts w:ascii="Arial" w:cs="Arial" w:eastAsia="Arial" w:hAnsi="Arial"/>
          <w:sz w:val="22"/>
          <w:szCs w:val="22"/>
        </w:rPr>
        <w:t xml:space="preserve">X-Road is not a database. This is the most commonly misunderstood fact about Estonia’s digital infrastructure. X-Road is a distributed data exchange protocol — a secure API layer that allows independently managed government databases to query each other without creating a central repository.</w:t>
      </w:r>
    </w:p>
    <w:p>
      <w:pPr>
        <w:spacing w:after="80" w:before="80"/>
      </w:pPr>
      <w:r>
        <w:rPr>
          <w:rFonts w:ascii="Arial" w:cs="Arial" w:eastAsia="Arial" w:hAnsi="Arial"/>
          <w:sz w:val="22"/>
          <w:szCs w:val="22"/>
        </w:rPr>
        <w:t xml:space="preserve">The Ministry of Health keeps its own health database. The Tax Board keeps its own tax database. The courts keep their own case database. X-Road is the protocol that lets them query each other securely, with a full audit trail of every query, by whom, at what time, for what purpose.</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b/>
                <w:bCs/>
                <w:color w:val="1F3864"/>
                <w:sz w:val="22"/>
                <w:szCs w:val="22"/>
              </w:rPr>
              <w:t xml:space="preserve">X-ROAD’S THREE CORE PRINCIPLES:</w:t>
            </w:r>
          </w:p>
          <w:p>
            <w:pPr>
              <w:pStyle w:val="ListParagraph"/>
              <w:numPr>
                <w:ilvl w:val="0"/>
                <w:numId w:val="2"/>
              </w:numPr>
              <w:spacing w:after="80" w:before="80"/>
            </w:pPr>
            <w:r>
              <w:rPr>
                <w:rFonts w:ascii="Arial" w:cs="Arial" w:eastAsia="Arial" w:hAnsi="Arial"/>
                <w:sz w:val="22"/>
                <w:szCs w:val="22"/>
              </w:rPr>
              <w:t xml:space="preserve">Once-only: A citizen provides data to the government once. Every subsequent agency queries X-Road rather than asking the citizen to re-submit. The ‘fill in your name on 14 forms’ problem is eliminated.</w:t>
            </w:r>
          </w:p>
          <w:p>
            <w:pPr>
              <w:pStyle w:val="ListParagraph"/>
              <w:numPr>
                <w:ilvl w:val="0"/>
                <w:numId w:val="2"/>
              </w:numPr>
              <w:spacing w:after="80" w:before="80"/>
            </w:pPr>
            <w:r>
              <w:rPr>
                <w:rFonts w:ascii="Arial" w:cs="Arial" w:eastAsia="Arial" w:hAnsi="Arial"/>
                <w:sz w:val="22"/>
                <w:szCs w:val="22"/>
              </w:rPr>
              <w:t xml:space="preserve">No central database: Data sovereignty stays with the originating ministry. No single breach can expose everything. No single failure brings down all services.</w:t>
            </w:r>
          </w:p>
          <w:p>
            <w:pPr>
              <w:pStyle w:val="ListParagraph"/>
              <w:numPr>
                <w:ilvl w:val="0"/>
                <w:numId w:val="2"/>
              </w:numPr>
              <w:spacing w:after="80" w:before="80"/>
            </w:pPr>
            <w:r>
              <w:rPr>
                <w:rFonts w:ascii="Arial" w:cs="Arial" w:eastAsia="Arial" w:hAnsi="Arial"/>
                <w:sz w:val="22"/>
                <w:szCs w:val="22"/>
              </w:rPr>
              <w:t xml:space="preserve">Full audit trail: Every data query is logged. Citizens can see who accessed their data, when, and why. This transparency built public trust — and reduced corruption by making data manipulation mathematically traceable.</w:t>
            </w:r>
          </w:p>
        </w:tc>
      </w:tr>
    </w:tbl>
    <w:p>
      <w:pPr>
        <w:spacing w:after="0" w:before="80"/>
      </w:pPr>
    </w:p>
    <w:p>
      <w:pPr>
        <w:spacing w:after="80" w:before="80"/>
      </w:pPr>
      <w:r>
        <w:rPr>
          <w:rFonts w:ascii="Arial" w:cs="Arial" w:eastAsia="Arial" w:hAnsi="Arial"/>
          <w:sz w:val="22"/>
          <w:szCs w:val="22"/>
        </w:rPr>
        <w:t xml:space="preserve">By 2021, X-Road connected 1,700+ databases and processed 1.3 billion queries annually in a country of 1.3 million people — approximately 1,000 digital government queries per citizen per year. Finland joined the X-Road federation in 2016. The source code is now open-source and deployed in Finland, Iceland, Namibia, the Faroe Islands, and piloted in 30+ countries through the Nordic Institute for Interoperability Solutions (NIIS).</w:t>
      </w:r>
    </w:p>
    <w:p>
      <w:pPr>
        <w:spacing w:after="0" w:before="80"/>
      </w:pPr>
    </w:p>
    <w:p>
      <w:pPr>
        <w:pStyle w:val="Heading1"/>
      </w:pPr>
      <w:r>
        <w:rPr>
          <w:rFonts w:ascii="Arial" w:cs="Arial" w:eastAsia="Arial" w:hAnsi="Arial"/>
          <w:b/>
          <w:bCs/>
          <w:color w:val="1F3864"/>
          <w:sz w:val="32"/>
          <w:szCs w:val="32"/>
        </w:rPr>
        <w:t xml:space="preserve">1.4 — THE 2007 CYBER ATTACKS: HOW CRISIS HARDENED THE ARCHITECTURE</w:t>
      </w:r>
    </w:p>
    <w:p>
      <w:pPr>
        <w:spacing w:after="80" w:before="80"/>
      </w:pPr>
      <w:r>
        <w:rPr>
          <w:rFonts w:ascii="Arial" w:cs="Arial" w:eastAsia="Arial" w:hAnsi="Arial"/>
          <w:sz w:val="22"/>
          <w:szCs w:val="22"/>
        </w:rPr>
        <w:t xml:space="preserve">On April 26, 2007, Estonia began removing a Soviet-era war memorial from central Tallinn. The next day, coordinated DDoS attacks hit Estonian government websites, banks, and news portals. The attacks continued for three weeks — the most sustained cyberattack on a sovereign state at that time. Russia-linked attackers brought down parliament, banks, and ministries periodically.</w:t>
      </w:r>
    </w:p>
    <w:p>
      <w:pPr>
        <w:spacing w:after="80" w:before="80"/>
      </w:pPr>
      <w:r>
        <w:rPr>
          <w:rFonts w:ascii="Arial" w:cs="Arial" w:eastAsia="Arial" w:hAnsi="Arial"/>
          <w:sz w:val="22"/>
          <w:szCs w:val="22"/>
        </w:rPr>
        <w:t xml:space="preserve">Estonia’s structural response was more important than the immediate defence:</w:t>
      </w:r>
    </w:p>
    <w:p>
      <w:pPr>
        <w:pStyle w:val="ListParagraph"/>
        <w:numPr>
          <w:ilvl w:val="0"/>
          <w:numId w:val="3"/>
        </w:numPr>
        <w:spacing w:after="60" w:before="60"/>
      </w:pPr>
      <w:r>
        <w:rPr>
          <w:rFonts w:ascii="Arial" w:cs="Arial" w:eastAsia="Arial" w:hAnsi="Arial"/>
          <w:sz w:val="22"/>
          <w:szCs w:val="22"/>
        </w:rPr>
        <w:t xml:space="preserve">NATO established the Cooperative Cyber Defence Centre of Excellence (CCD COE) in Tallinn in 2008. Estonia became the recognized world authority in cyber defence doctrine.</w:t>
      </w:r>
    </w:p>
    <w:p>
      <w:pPr>
        <w:pStyle w:val="ListParagraph"/>
        <w:numPr>
          <w:ilvl w:val="0"/>
          <w:numId w:val="3"/>
        </w:numPr>
        <w:spacing w:after="60" w:before="60"/>
      </w:pPr>
      <w:r>
        <w:rPr>
          <w:rFonts w:ascii="Arial" w:cs="Arial" w:eastAsia="Arial" w:hAnsi="Arial"/>
          <w:sz w:val="22"/>
          <w:szCs w:val="22"/>
        </w:rPr>
        <w:t xml:space="preserve">KSI Blockchain (2012): Keyless Signature Infrastructure — does not store data, only stores cryptographic proof that data has not been altered since a given timestamp. Applied to court records: any tampering with a filed document is mathematically detectable. The 2007 attack created the political will to deploy this in 2012.</w:t>
      </w:r>
    </w:p>
    <w:p>
      <w:pPr>
        <w:pStyle w:val="ListParagraph"/>
        <w:numPr>
          <w:ilvl w:val="0"/>
          <w:numId w:val="3"/>
        </w:numPr>
        <w:spacing w:after="60" w:before="60"/>
      </w:pPr>
      <w:r>
        <w:rPr>
          <w:rFonts w:ascii="Arial" w:cs="Arial" w:eastAsia="Arial" w:hAnsi="Arial"/>
          <w:sz w:val="22"/>
          <w:szCs w:val="22"/>
        </w:rPr>
        <w:t xml:space="preserve">Data Embassy Act (2016): Estonia’s government data is backed up in servers in partner countries. Even if Russia physically occupied Estonia, the government could continue functioning digitally from Luxembourg.</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i/>
                <w:iCs/>
                <w:color w:val="1F3864"/>
                <w:sz w:val="22"/>
                <w:szCs w:val="22"/>
              </w:rPr>
              <w:t xml:space="preserve">DIRECT LESSON FOR LEGAL-TECHAI: Court data is among the most sensitive data in any country. Opposing counsel, corrupt officials, and adversarial actors all have motivation to tamper with court records. The inconsistency engine’s SHA-256 file hashing (already in models.py) is the beginning of the right answer. Add a UTC timestamp to generate a hash chain for every document processed: ‘This document was in this exact state when the inconsistency engine analyzed it on [date]’ is a BSA S.63-compliant electronic evidence proof. Build this now. Not after the legal challenge.</w:t>
            </w:r>
          </w:p>
        </w:tc>
      </w:tr>
    </w:tbl>
    <w:p>
      <w:pPr>
        <w:spacing w:after="0" w:before="80"/>
      </w:pPr>
    </w:p>
    <w:p>
      <w:pPr>
        <w:pStyle w:val="Heading1"/>
      </w:pPr>
      <w:r>
        <w:rPr>
          <w:rFonts w:ascii="Arial" w:cs="Arial" w:eastAsia="Arial" w:hAnsi="Arial"/>
          <w:b/>
          <w:bCs/>
          <w:color w:val="1F3864"/>
          <w:sz w:val="32"/>
          <w:szCs w:val="32"/>
        </w:rPr>
        <w:t xml:space="preserve">1.5 — DIGITAL COURTS: WHAT ESTONIA ACTUALLY BUILT</w:t>
      </w:r>
    </w:p>
    <w:p>
      <w:pPr>
        <w:spacing w:after="80" w:before="80"/>
      </w:pPr>
      <w:r>
        <w:rPr>
          <w:rFonts w:ascii="Arial" w:cs="Arial" w:eastAsia="Arial" w:hAnsi="Arial"/>
          <w:sz w:val="22"/>
          <w:szCs w:val="22"/>
        </w:rPr>
        <w:t xml:space="preserve">Estonia’s e-Toimik (e-File) court system launched between 2005 and 2010. All court filings are digital. Physical filing was phased out entirely. Court files are secured by KSI blockchain timestamp. Every document filed has an immutable hash proving when it was filed and that it has not been altered since. Citizens can check case status in real time. Notarization is digital.</w:t>
      </w:r>
    </w:p>
    <w:p>
      <w:pPr>
        <w:spacing w:after="80" w:before="80"/>
      </w:pPr>
      <w:r>
        <w:rPr>
          <w:rFonts w:ascii="Arial" w:cs="Arial" w:eastAsia="Arial" w:hAnsi="Arial"/>
          <w:sz w:val="22"/>
          <w:szCs w:val="22"/>
        </w:rPr>
        <w:t xml:space="preserve">Estonia processes approximately 100,000 cases per year for 1.3 million people. India processes approximately 20 million new cases per year for 1.4 billion people — roughly 15 times more cases per capita, with a fraction of the digital infrastructure. The gap is structural, not technological.</w:t>
      </w:r>
    </w:p>
    <w:p>
      <w:pPr>
        <w:spacing w:after="0" w:before="80"/>
      </w:pPr>
    </w:p>
    <w:p>
      <w:pPr>
        <w:pStyle w:val="Heading1"/>
      </w:pPr>
      <w:r>
        <w:rPr>
          <w:rFonts w:ascii="Arial" w:cs="Arial" w:eastAsia="Arial" w:hAnsi="Arial"/>
          <w:b/>
          <w:bCs/>
          <w:color w:val="1F3864"/>
          <w:sz w:val="32"/>
          <w:szCs w:val="32"/>
        </w:rPr>
        <w:t xml:space="preserve">1.6 — MEASURABLE IMPACTS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03087"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2% GDP</w:t>
            </w:r>
          </w:p>
          <w:p>
            <w:pPr>
              <w:jc w:val="center"/>
            </w:pPr>
            <w:r>
              <w:rPr>
                <w:rFonts w:ascii="Arial" w:cs="Arial" w:eastAsia="Arial" w:hAnsi="Arial"/>
                <w:color w:val="FFFFFF"/>
                <w:sz w:val="18"/>
                <w:szCs w:val="18"/>
              </w:rPr>
              <w:t xml:space="preserve">Annual savings from digital signatures alone</w:t>
            </w:r>
          </w:p>
        </w:tc>
        <w:tc>
          <w:tcPr>
            <w:tcW w:type="dxa" w:w="2340"/>
            <w:tcBorders>
              <w:top w:val="none" w:color="FFFFFF" w:sz="0"/>
              <w:left w:val="none" w:color="FFFFFF" w:sz="0"/>
              <w:bottom w:val="none" w:color="FFFFFF" w:sz="0"/>
              <w:right w:val="none" w:color="FFFFFF" w:sz="0"/>
            </w:tcBorders>
            <w:shd w:fill="375623"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#12</w:t>
            </w:r>
          </w:p>
          <w:p>
            <w:pPr>
              <w:jc w:val="center"/>
            </w:pPr>
            <w:r>
              <w:rPr>
                <w:rFonts w:ascii="Arial" w:cs="Arial" w:eastAsia="Arial" w:hAnsi="Arial"/>
                <w:color w:val="FFFFFF"/>
                <w:sz w:val="18"/>
                <w:szCs w:val="18"/>
              </w:rPr>
              <w:t xml:space="preserve">CPI Corruption Rank, 2023, out of 180</w:t>
            </w:r>
          </w:p>
        </w:tc>
        <w:tc>
          <w:tcPr>
            <w:tcW w:type="dxa" w:w="2340"/>
            <w:tcBorders>
              <w:top w:val="none" w:color="FFFFFF" w:sz="0"/>
              <w:left w:val="none" w:color="FFFFFF" w:sz="0"/>
              <w:bottom w:val="none" w:color="FFFFFF" w:sz="0"/>
              <w:right w:val="none" w:color="FFFFFF" w:sz="0"/>
            </w:tcBorders>
            <w:shd w:fill="003087"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14×</w:t>
            </w:r>
          </w:p>
          <w:p>
            <w:pPr>
              <w:jc w:val="center"/>
            </w:pPr>
            <w:r>
              <w:rPr>
                <w:rFonts w:ascii="Arial" w:cs="Arial" w:eastAsia="Arial" w:hAnsi="Arial"/>
                <w:color w:val="FFFFFF"/>
                <w:sz w:val="18"/>
                <w:szCs w:val="18"/>
              </w:rPr>
              <w:t xml:space="preserve">Faster company registration than paper process</w:t>
            </w:r>
          </w:p>
        </w:tc>
        <w:tc>
          <w:tcPr>
            <w:tcW w:type="dxa" w:w="2340"/>
            <w:tcBorders>
              <w:top w:val="none" w:color="FFFFFF" w:sz="0"/>
              <w:left w:val="none" w:color="FFFFFF" w:sz="0"/>
              <w:bottom w:val="none" w:color="FFFFFF" w:sz="0"/>
              <w:right w:val="none" w:color="FFFFFF" w:sz="0"/>
            </w:tcBorders>
            <w:shd w:fill="003087"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99%</w:t>
            </w:r>
          </w:p>
          <w:p>
            <w:pPr>
              <w:jc w:val="center"/>
            </w:pPr>
            <w:r>
              <w:rPr>
                <w:rFonts w:ascii="Arial" w:cs="Arial" w:eastAsia="Arial" w:hAnsi="Arial"/>
                <w:color w:val="FFFFFF"/>
                <w:sz w:val="18"/>
                <w:szCs w:val="18"/>
              </w:rPr>
              <w:t xml:space="preserve">Public services accessible online</w:t>
            </w:r>
          </w:p>
        </w:tc>
      </w:tr>
    </w:tbl>
    <w:p>
      <w:pPr>
        <w:spacing w:after="0" w:before="80"/>
      </w:pPr>
    </w:p>
    <w:p>
      <w:pPr>
        <w:pStyle w:val="Heading1"/>
      </w:pPr>
      <w:r>
        <w:rPr>
          <w:rFonts w:ascii="Arial" w:cs="Arial" w:eastAsia="Arial" w:hAnsi="Arial"/>
          <w:b/>
          <w:bCs/>
          <w:color w:val="1F3864"/>
          <w:sz w:val="32"/>
          <w:szCs w:val="32"/>
        </w:rPr>
        <w:t xml:space="preserve">1.7 — FIVE LESSONS FOR LEGAL-TECHAI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b/>
                <w:bCs/>
                <w:sz w:val="22"/>
                <w:szCs w:val="22"/>
              </w:rPr>
              <w:t xml:space="preserve">L1.1  Build the pipe before the app. Estonia built X-Road (infrastructure) before e-services. Legal-TechAI: build the inconsistency engine as a documented REST API before the dashboard. Let courts, lawyers, and OpenNyAI integrate with your API. Don’t build a captive product when you can build infrastructure.</w:t>
            </w:r>
          </w:p>
          <w:p>
            <w:pPr>
              <w:spacing w:after="80" w:before="80"/>
            </w:pPr>
            <w:r>
              <w:rPr>
                <w:rFonts w:ascii="Arial" w:cs="Arial" w:eastAsia="Arial" w:hAnsi="Arial"/>
                <w:b/>
                <w:bCs/>
                <w:sz w:val="22"/>
                <w:szCs w:val="22"/>
              </w:rPr>
              <w:t xml:space="preserve">L1.2  Solve identity first. Estonia’s digital ID was the keystone. Legal-TechAI: every inconsistency report must be anchored to a CNR case number, court code, and case type. Without this identity anchor, the output is legally ungrounded.</w:t>
            </w:r>
          </w:p>
          <w:p>
            <w:pPr>
              <w:spacing w:after="80" w:before="80"/>
            </w:pPr>
            <w:r>
              <w:rPr>
                <w:rFonts w:ascii="Arial" w:cs="Arial" w:eastAsia="Arial" w:hAnsi="Arial"/>
                <w:b/>
                <w:bCs/>
                <w:sz w:val="22"/>
                <w:szCs w:val="22"/>
              </w:rPr>
              <w:t xml:space="preserve">L1.3  Audit trails are the product of trust. KSI blockchain proved data integrity. Legal-TechAI: generate a cryptographic hash + timestamp for every document analyzed. This is the foundation of court-admissible output.</w:t>
            </w:r>
          </w:p>
          <w:p>
            <w:pPr>
              <w:spacing w:after="80" w:before="80"/>
            </w:pPr>
            <w:r>
              <w:rPr>
                <w:rFonts w:ascii="Arial" w:cs="Arial" w:eastAsia="Arial" w:hAnsi="Arial"/>
                <w:b/>
                <w:bCs/>
                <w:sz w:val="22"/>
                <w:szCs w:val="22"/>
              </w:rPr>
              <w:t xml:space="preserve">L1.4  Crisis creates architecture. Estonia’s 2007 attack produced lasting infrastructure. Legal-TechAI: assume your court data processing will be legally challenged. Build the audit trail and tamper-evidence before the challenge, not after.</w:t>
            </w:r>
          </w:p>
          <w:p>
            <w:pPr>
              <w:spacing w:after="80" w:before="80"/>
            </w:pPr>
            <w:r>
              <w:rPr>
                <w:rFonts w:ascii="Arial" w:cs="Arial" w:eastAsia="Arial" w:hAnsi="Arial"/>
                <w:b/>
                <w:bCs/>
                <w:sz w:val="22"/>
                <w:szCs w:val="22"/>
              </w:rPr>
              <w:t xml:space="preserve">L1.5  The once-only principle eliminates friction. Estonia stopped asking citizens for the same data twice. Legal-TechAI: integrate NJDG CNR lookup so a lawyer entering a case number gets all public case data auto-populated. Stop making lawyers re-enter information that already exists in the system.</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6000"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2</w:t>
            </w:r>
          </w:p>
          <w:p>
            <w:pPr>
              <w:jc w:val="center"/>
            </w:pPr>
            <w:r>
              <w:rPr>
                <w:rFonts w:ascii="Arial" w:cs="Arial" w:eastAsia="Arial" w:hAnsi="Arial"/>
                <w:b/>
                <w:bCs/>
                <w:color w:val="FFFFFF"/>
                <w:sz w:val="32"/>
                <w:szCs w:val="32"/>
              </w:rPr>
              <w:t xml:space="preserve">SINGAPORE: PRECISION ENGINEERING FOR LEGAL-TECH</w:t>
            </w:r>
          </w:p>
        </w:tc>
      </w:tr>
    </w:tbl>
    <w:p>
      <w:pPr>
        <w:spacing w:after="0" w:before="80"/>
      </w:pPr>
    </w:p>
    <w:p>
      <w:pPr>
        <w:pStyle w:val="Heading1"/>
      </w:pPr>
      <w:r>
        <w:rPr>
          <w:rFonts w:ascii="Arial" w:cs="Arial" w:eastAsia="Arial" w:hAnsi="Arial"/>
          <w:b/>
          <w:bCs/>
          <w:color w:val="1F3864"/>
          <w:sz w:val="32"/>
          <w:szCs w:val="32"/>
        </w:rPr>
        <w:t xml:space="preserve">2.1 — STARTING POINT: SMALL, RICH, AND STRATEGIC</w:t>
      </w:r>
    </w:p>
    <w:p>
      <w:pPr>
        <w:spacing w:after="80" w:before="80"/>
      </w:pPr>
      <w:r>
        <w:rPr>
          <w:rFonts w:ascii="Arial" w:cs="Arial" w:eastAsia="Arial" w:hAnsi="Arial"/>
          <w:sz w:val="22"/>
          <w:szCs w:val="22"/>
        </w:rPr>
        <w:t xml:space="preserve">Singapore in 1965 (independence from Malaysia) was a city-state of 1.8 million people with no natural resources and no hinterland. Lee Kuan Yew’s government made a foundational bet: human capital and institutional quality were the only defensible competitive advantages. That bet shaped every policy decision for 60 years, including the digital government strategy.</w:t>
      </w:r>
    </w:p>
    <w:p>
      <w:pPr>
        <w:spacing w:after="80" w:before="80"/>
      </w:pPr>
      <w:r>
        <w:rPr>
          <w:rFonts w:ascii="Arial" w:cs="Arial" w:eastAsia="Arial" w:hAnsi="Arial"/>
          <w:sz w:val="22"/>
          <w:szCs w:val="22"/>
        </w:rPr>
        <w:t xml:space="preserve">By 2014, Singapore was already a high-income country (GDP per capita ~$57,000). The Smart Nation initiative, announced by PM Lee Hsien Loong in November 2014, was not a crisis response — it was a strategic response to the risk of irrelevance. The governance structure was decisive: the Smart Nation and Digital Government Group (SNDGG) was placed directly under the Prime Minister’s Office in 2017. Every digital initiative had political air cover at the highest level.</w:t>
      </w:r>
    </w:p>
    <w:p>
      <w:pPr>
        <w:spacing w:after="0" w:before="80"/>
      </w:pPr>
    </w:p>
    <w:p>
      <w:pPr>
        <w:pStyle w:val="Heading1"/>
      </w:pPr>
      <w:r>
        <w:rPr>
          <w:rFonts w:ascii="Arial" w:cs="Arial" w:eastAsia="Arial" w:hAnsi="Arial"/>
          <w:b/>
          <w:bCs/>
          <w:color w:val="1F3864"/>
          <w:sz w:val="32"/>
          <w:szCs w:val="32"/>
        </w:rPr>
        <w:t xml:space="preserve">2.2 — THE SINGAPORE DIGITAL STACK</w:t>
      </w:r>
    </w:p>
    <w:p>
      <w:pPr>
        <w:pStyle w:val="Heading2"/>
      </w:pPr>
      <w:r>
        <w:rPr>
          <w:rFonts w:ascii="Arial" w:cs="Arial" w:eastAsia="Arial" w:hAnsi="Arial"/>
          <w:b/>
          <w:bCs/>
          <w:color w:val="2E74B5"/>
          <w:sz w:val="26"/>
          <w:szCs w:val="26"/>
        </w:rPr>
        <w:t xml:space="preserve">SingPass and MyInfo — The Identity Keystone</w:t>
      </w:r>
    </w:p>
    <w:p>
      <w:pPr>
        <w:spacing w:after="80" w:before="80"/>
      </w:pPr>
      <w:r>
        <w:rPr>
          <w:rFonts w:ascii="Arial" w:cs="Arial" w:eastAsia="Arial" w:hAnsi="Arial"/>
          <w:sz w:val="22"/>
          <w:szCs w:val="22"/>
        </w:rPr>
        <w:t xml:space="preserve">SingPass launched in 2003. By 2025: 4.5 million users covering 97% of citizens and permanent residents aged 15+, facilitating 350+ million transactions per year across 2,700 services offered by 800 agencies and businesses.</w:t>
      </w:r>
    </w:p>
    <w:p>
      <w:pPr>
        <w:spacing w:after="80" w:before="80"/>
      </w:pPr>
      <w:r>
        <w:rPr>
          <w:rFonts w:ascii="Arial" w:cs="Arial" w:eastAsia="Arial" w:hAnsi="Arial"/>
          <w:sz w:val="22"/>
          <w:szCs w:val="22"/>
        </w:rPr>
        <w:t xml:space="preserve">MyInfo (2016) is the consent-based data layer. Citizens consent once to share government-held data with private companies. Applying for a bank account that previously required 3 days and 12 documents now takes 15 minutes with 0 documents — the bank queries MyInfo directly. Documented outcomes: 80% reduction in application completion time; 200,000 transactions per day; 15% higher approval rates for financial products because data quality improved.</w:t>
      </w:r>
    </w:p>
    <w:p>
      <w:pPr>
        <w:spacing w:after="0" w:before="80"/>
      </w:pPr>
    </w:p>
    <w:p>
      <w:pPr>
        <w:pStyle w:val="Heading2"/>
      </w:pPr>
      <w:r>
        <w:rPr>
          <w:rFonts w:ascii="Arial" w:cs="Arial" w:eastAsia="Arial" w:hAnsi="Arial"/>
          <w:b/>
          <w:bCs/>
          <w:color w:val="2E74B5"/>
          <w:sz w:val="26"/>
          <w:szCs w:val="26"/>
        </w:rPr>
        <w:t xml:space="preserve">GovTech — The Execution Engine</w:t>
      </w:r>
    </w:p>
    <w:p>
      <w:pPr>
        <w:spacing w:after="80" w:before="80"/>
      </w:pPr>
      <w:r>
        <w:rPr>
          <w:rFonts w:ascii="Arial" w:cs="Arial" w:eastAsia="Arial" w:hAnsi="Arial"/>
          <w:sz w:val="22"/>
          <w:szCs w:val="22"/>
        </w:rPr>
        <w:t xml:space="preserve">The Infocomm Development Authority (IDA) was restructured in 2016 into GovTech (Government Technology Agency). This restructuring was significant: IDA was a regulator; GovTech is a builder. It has a mandate to build shared digital infrastructure, attract engineering talent at near-private-sector salaries, and embed engineers directly in government agencies. GovTech’s APEX API gateway connects 45 government agencies through 2,000+ APIs — Singapore’s version of X-Road.</w:t>
      </w:r>
    </w:p>
    <w:p>
      <w:pPr>
        <w:spacing w:after="0" w:before="80"/>
      </w:pPr>
    </w:p>
    <w:p>
      <w:pPr>
        <w:pStyle w:val="Heading2"/>
      </w:pPr>
      <w:r>
        <w:rPr>
          <w:rFonts w:ascii="Arial" w:cs="Arial" w:eastAsia="Arial" w:hAnsi="Arial"/>
          <w:b/>
          <w:bCs/>
          <w:color w:val="2E74B5"/>
          <w:sz w:val="26"/>
          <w:szCs w:val="26"/>
        </w:rPr>
        <w:t xml:space="preserve">eLitigation — How Singapore Digitized Its Courts</w:t>
      </w:r>
    </w:p>
    <w:p>
      <w:pPr>
        <w:spacing w:after="80" w:before="80"/>
      </w:pPr>
      <w:r>
        <w:rPr>
          <w:rFonts w:ascii="Arial" w:cs="Arial" w:eastAsia="Arial" w:hAnsi="Arial"/>
          <w:sz w:val="22"/>
          <w:szCs w:val="22"/>
        </w:rPr>
        <w:t xml:space="preserve">Singapore’s court digitization began in 1997 with the Electronic Filing System (EFS) — 8 years before Estonia’s e-Toimik. The current eLitigation system is fully operational as of 2021. 100% of court filings in Singapore are digital. Physical filings are not accepted. Real-time case tracking. Online hearings are now standard practice for appropriate case types.</w:t>
      </w:r>
    </w:p>
    <w:p>
      <w:pPr>
        <w:spacing w:after="80" w:before="80"/>
      </w:pPr>
      <w:r>
        <w:rPr>
          <w:rFonts w:ascii="Arial" w:cs="Arial" w:eastAsia="Arial" w:hAnsi="Arial"/>
          <w:sz w:val="22"/>
          <w:szCs w:val="22"/>
        </w:rPr>
        <w:t xml:space="preserve">Metric: Singapore courts disposed of 99.4% of civil cases within disposal targets in 2022, compared to India’s 20-30% within prescribed timelines. The difference is not just digitization — it is digitization plus active case management plus judicial performance accountability.</w:t>
      </w:r>
    </w:p>
    <w:p>
      <w:pPr>
        <w:spacing w:after="0" w:before="80"/>
      </w:pPr>
    </w:p>
    <w:p>
      <w:pPr>
        <w:pStyle w:val="Heading2"/>
      </w:pPr>
      <w:r>
        <w:rPr>
          <w:rFonts w:ascii="Arial" w:cs="Arial" w:eastAsia="Arial" w:hAnsi="Arial"/>
          <w:b/>
          <w:bCs/>
          <w:color w:val="2E74B5"/>
          <w:sz w:val="26"/>
          <w:szCs w:val="26"/>
        </w:rPr>
        <w:t xml:space="preserve">SAL and the Legal Innovation Ecosystem</w:t>
      </w:r>
    </w:p>
    <w:p>
      <w:pPr>
        <w:spacing w:after="80" w:before="80"/>
      </w:pPr>
      <w:r>
        <w:rPr>
          <w:rFonts w:ascii="Arial" w:cs="Arial" w:eastAsia="Arial" w:hAnsi="Arial"/>
          <w:sz w:val="22"/>
          <w:szCs w:val="22"/>
        </w:rPr>
        <w:t xml:space="preserve">The Singapore Academy of Law (SAL) has an explicit innovation mandate. Key 2024-2025 initiatives:</w:t>
      </w:r>
    </w:p>
    <w:p>
      <w:pPr>
        <w:pStyle w:val="ListParagraph"/>
        <w:numPr>
          <w:ilvl w:val="0"/>
          <w:numId w:val="3"/>
        </w:numPr>
        <w:spacing w:after="60" w:before="60"/>
      </w:pPr>
      <w:r>
        <w:rPr>
          <w:rFonts w:ascii="Arial" w:cs="Arial" w:eastAsia="Arial" w:hAnsi="Arial"/>
          <w:sz w:val="22"/>
          <w:szCs w:val="22"/>
        </w:rPr>
        <w:t xml:space="preserve">Legal Technology Platform Initiative (LTPI): MinLaw deployed PwC NewLaw consultants to law firms to diagnose technology needs and facilitate adoption. Government paid for legaltech adoption consulting.</w:t>
      </w:r>
    </w:p>
    <w:p>
      <w:pPr>
        <w:pStyle w:val="ListParagraph"/>
        <w:numPr>
          <w:ilvl w:val="0"/>
          <w:numId w:val="3"/>
        </w:numPr>
        <w:spacing w:after="60" w:before="60"/>
      </w:pPr>
      <w:r>
        <w:rPr>
          <w:rFonts w:ascii="Arial" w:cs="Arial" w:eastAsia="Arial" w:hAnsi="Arial"/>
          <w:sz w:val="22"/>
          <w:szCs w:val="22"/>
        </w:rPr>
        <w:t xml:space="preserve">Legal Research Platform (2024): 15,000+ unreported Singapore judgments with AI-generated summaries. SAL built this directly rather than waiting for a private company to do it.</w:t>
      </w:r>
    </w:p>
    <w:p>
      <w:pPr>
        <w:pStyle w:val="ListParagraph"/>
        <w:numPr>
          <w:ilvl w:val="0"/>
          <w:numId w:val="3"/>
        </w:numPr>
        <w:spacing w:after="60" w:before="60"/>
      </w:pPr>
      <w:r>
        <w:rPr>
          <w:rFonts w:ascii="Arial" w:cs="Arial" w:eastAsia="Arial" w:hAnsi="Arial"/>
          <w:sz w:val="22"/>
          <w:szCs w:val="22"/>
        </w:rPr>
        <w:t xml:space="preserve">Harvey AI + Singapore Courts: Harvey partnered with Singapore courts for AI-powered translation at the Small Claims Tribunal. AI translates submissions from Malay, Tamil, Chinese into English in real time.</w:t>
      </w:r>
    </w:p>
    <w:p>
      <w:pPr>
        <w:pStyle w:val="ListParagraph"/>
        <w:numPr>
          <w:ilvl w:val="0"/>
          <w:numId w:val="3"/>
        </w:numPr>
        <w:spacing w:after="60" w:before="60"/>
      </w:pPr>
      <w:r>
        <w:rPr>
          <w:rFonts w:ascii="Arial" w:cs="Arial" w:eastAsia="Arial" w:hAnsi="Arial"/>
          <w:sz w:val="22"/>
          <w:szCs w:val="22"/>
        </w:rPr>
        <w:t xml:space="preserve">TechLaw.Fest 2024: 1,746 delegates from 28 countries. Singapore made itself the global legal-tech conference hub.</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i/>
                <w:iCs/>
                <w:color w:val="1F3864"/>
                <w:sz w:val="22"/>
                <w:szCs w:val="22"/>
              </w:rPr>
              <w:t xml:space="preserve">WHAT SINGAPORE DID THAT INDIA HAS NOT: Singapore’s MinLaw actively deployed consultants to law firms to push adoption and created grant programmes for technology investment. In India, the Bar Council of India has no innovation mandate. The Law Ministry has no equivalent of MinLaw’s legal-tech programme. Indian lawyers are left to discover legal-tech themselves. This is an adoption gap, not a technology gap.</w:t>
            </w:r>
          </w:p>
        </w:tc>
      </w:tr>
    </w:tbl>
    <w:p>
      <w:pPr>
        <w:spacing w:after="0" w:before="80"/>
      </w:pPr>
    </w:p>
    <w:p>
      <w:pPr>
        <w:pStyle w:val="Heading1"/>
      </w:pPr>
      <w:r>
        <w:rPr>
          <w:rFonts w:ascii="Arial" w:cs="Arial" w:eastAsia="Arial" w:hAnsi="Arial"/>
          <w:b/>
          <w:bCs/>
          <w:color w:val="1F3864"/>
          <w:sz w:val="32"/>
          <w:szCs w:val="32"/>
        </w:rPr>
        <w:t xml:space="preserve">2.3 — KEY ENABLERS (AND WHY THEY DON’T TRANSFER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Enabler</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Singapore vs. India Reality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City-state scale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5.5M people, 1 jurisdiction, 1 legal system, court language is English. Single point of coordination. India is 1.4B people, 25 High Courts, 22 official languages, 1,600+ spoken languages. Singapore’s scale advantage cannot be replicated. But its principles can.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Political alignment</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SNDGG under PM’s Office. Every digital initiative had the highest political authority. India’s equivalent would require PM’s Office to mandate digital courts. That hasn’t happened; it likely won’t.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Talent strategy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GovTech engineers paid near-private-sector salaries. Government competed for talent. India’s NIC (National Informatics Centre) engineers are on government pay scales and incentivized for compliance, not innovation.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Mandatory adoption</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Courts mandated 100% e-filing. Not voluntary. Not incentivized. Mandatory. India’s courts have ‘encouraged’ e-filing for 15 years; adoption remains below 40% at district courts.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BF6000"/>
                <w:sz w:val="20"/>
                <w:szCs w:val="20"/>
              </w:rPr>
              <w:t xml:space="preserve">Regulatory sandbox</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MinLaw’s LIFTED framework: companies can test legal-tech in a controlled environment without full regulatory compliance, then apply for approval. India’s SC AI Regulations 2026 are creating a similar framework for court AI — this is the first opening of its kind in India.</w:t>
            </w:r>
          </w:p>
        </w:tc>
      </w:tr>
    </w:tbl>
    <w:p>
      <w:pPr>
        <w:spacing w:after="0" w:before="80"/>
      </w:pPr>
    </w:p>
    <w:p>
      <w:pPr>
        <w:pStyle w:val="Heading1"/>
      </w:pPr>
      <w:r>
        <w:rPr>
          <w:rFonts w:ascii="Arial" w:cs="Arial" w:eastAsia="Arial" w:hAnsi="Arial"/>
          <w:b/>
          <w:bCs/>
          <w:color w:val="1F3864"/>
          <w:sz w:val="32"/>
          <w:szCs w:val="32"/>
        </w:rPr>
        <w:t xml:space="preserve">2.4 — MEASURABLE IMPACTS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BF6000"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99%</w:t>
            </w:r>
          </w:p>
          <w:p>
            <w:pPr>
              <w:jc w:val="center"/>
            </w:pPr>
            <w:r>
              <w:rPr>
                <w:rFonts w:ascii="Arial" w:cs="Arial" w:eastAsia="Arial" w:hAnsi="Arial"/>
                <w:color w:val="FFFFFF"/>
                <w:sz w:val="18"/>
                <w:szCs w:val="18"/>
              </w:rPr>
              <w:t xml:space="preserve">Citizen-govt transactions are digital</w:t>
            </w:r>
          </w:p>
        </w:tc>
        <w:tc>
          <w:tcPr>
            <w:tcW w:type="dxa" w:w="2340"/>
            <w:tcBorders>
              <w:top w:val="none" w:color="FFFFFF" w:sz="0"/>
              <w:left w:val="none" w:color="FFFFFF" w:sz="0"/>
              <w:bottom w:val="none" w:color="FFFFFF" w:sz="0"/>
              <w:right w:val="none" w:color="FFFFFF" w:sz="0"/>
            </w:tcBorders>
            <w:shd w:fill="BF6000"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97%</w:t>
            </w:r>
          </w:p>
          <w:p>
            <w:pPr>
              <w:jc w:val="center"/>
            </w:pPr>
            <w:r>
              <w:rPr>
                <w:rFonts w:ascii="Arial" w:cs="Arial" w:eastAsia="Arial" w:hAnsi="Arial"/>
                <w:color w:val="FFFFFF"/>
                <w:sz w:val="18"/>
                <w:szCs w:val="18"/>
              </w:rPr>
              <w:t xml:space="preserve">SingPass coverage of eligible citizens</w:t>
            </w:r>
          </w:p>
        </w:tc>
        <w:tc>
          <w:tcPr>
            <w:tcW w:type="dxa" w:w="2340"/>
            <w:tcBorders>
              <w:top w:val="none" w:color="FFFFFF" w:sz="0"/>
              <w:left w:val="none" w:color="FFFFFF" w:sz="0"/>
              <w:bottom w:val="none" w:color="FFFFFF" w:sz="0"/>
              <w:right w:val="none" w:color="FFFFFF" w:sz="0"/>
            </w:tcBorders>
            <w:shd w:fill="375623"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80%</w:t>
            </w:r>
          </w:p>
          <w:p>
            <w:pPr>
              <w:jc w:val="center"/>
            </w:pPr>
            <w:r>
              <w:rPr>
                <w:rFonts w:ascii="Arial" w:cs="Arial" w:eastAsia="Arial" w:hAnsi="Arial"/>
                <w:color w:val="FFFFFF"/>
                <w:sz w:val="18"/>
                <w:szCs w:val="18"/>
              </w:rPr>
              <w:t xml:space="preserve">Reduction in application completion time</w:t>
            </w:r>
          </w:p>
        </w:tc>
        <w:tc>
          <w:tcPr>
            <w:tcW w:type="dxa" w:w="2340"/>
            <w:tcBorders>
              <w:top w:val="none" w:color="FFFFFF" w:sz="0"/>
              <w:left w:val="none" w:color="FFFFFF" w:sz="0"/>
              <w:bottom w:val="none" w:color="FFFFFF" w:sz="0"/>
              <w:right w:val="none" w:color="FFFFFF" w:sz="0"/>
            </w:tcBorders>
            <w:shd w:fill="BF6000" w:val="clear"/>
            <w:tcMar>
              <w:top w:type="dxa" w:w="100"/>
              <w:left w:type="dxa" w:w="100"/>
              <w:bottom w:type="dxa" w:w="100"/>
              <w:right w:type="dxa" w:w="80"/>
            </w:tcMar>
          </w:tcPr>
          <w:p>
            <w:pPr>
              <w:jc w:val="center"/>
            </w:pPr>
            <w:r>
              <w:rPr>
                <w:rFonts w:ascii="Arial" w:cs="Arial" w:eastAsia="Arial" w:hAnsi="Arial"/>
                <w:b/>
                <w:bCs/>
                <w:color w:val="FFFFFF"/>
                <w:sz w:val="36"/>
                <w:szCs w:val="36"/>
              </w:rPr>
              <w:t xml:space="preserve">2,700+</w:t>
            </w:r>
          </w:p>
          <w:p>
            <w:pPr>
              <w:jc w:val="center"/>
            </w:pPr>
            <w:r>
              <w:rPr>
                <w:rFonts w:ascii="Arial" w:cs="Arial" w:eastAsia="Arial" w:hAnsi="Arial"/>
                <w:color w:val="FFFFFF"/>
                <w:sz w:val="18"/>
                <w:szCs w:val="18"/>
              </w:rPr>
              <w:t xml:space="preserve">Services on SingPass</w:t>
            </w:r>
          </w:p>
        </w:tc>
      </w:tr>
    </w:tbl>
    <w:p>
      <w:pPr>
        <w:spacing w:after="0" w:before="80"/>
      </w:pPr>
    </w:p>
    <w:p>
      <w:pPr>
        <w:pStyle w:val="Heading1"/>
      </w:pPr>
      <w:r>
        <w:rPr>
          <w:rFonts w:ascii="Arial" w:cs="Arial" w:eastAsia="Arial" w:hAnsi="Arial"/>
          <w:b/>
          <w:bCs/>
          <w:color w:val="1F3864"/>
          <w:sz w:val="32"/>
          <w:szCs w:val="32"/>
        </w:rPr>
        <w:t xml:space="preserve">2.5 — FIVE LESSONS FOR LEGAL-TECHAI</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b/>
                <w:bCs/>
                <w:sz w:val="22"/>
                <w:szCs w:val="22"/>
              </w:rPr>
              <w:t xml:space="preserve">L2.1  Format for the judge’s desk. Singapore’s eLitigation produces court-formatted output. Legal-TechAI’s inconsistency reports must look like court exhibits: case number, date, exhibit reference, counsel attribution. A dashboard is for lawyers; an exhibit is for judges.</w:t>
            </w:r>
          </w:p>
          <w:p>
            <w:pPr>
              <w:spacing w:after="80" w:before="80"/>
            </w:pPr>
            <w:r>
              <w:rPr>
                <w:rFonts w:ascii="Arial" w:cs="Arial" w:eastAsia="Arial" w:hAnsi="Arial"/>
                <w:b/>
                <w:bCs/>
                <w:sz w:val="22"/>
                <w:szCs w:val="22"/>
              </w:rPr>
              <w:t xml:space="preserve">L2.2  The API gateway model. Singapore’s APEX connects agencies through managed APIs. Legal-TechAI: once the inconsistency engine API is stable, approach eCourts Phase III for inclusion in the national API gateway. This is how private companies become public infrastructure.</w:t>
            </w:r>
          </w:p>
          <w:p>
            <w:pPr>
              <w:spacing w:after="80" w:before="80"/>
            </w:pPr>
            <w:r>
              <w:rPr>
                <w:rFonts w:ascii="Arial" w:cs="Arial" w:eastAsia="Arial" w:hAnsi="Arial"/>
                <w:b/>
                <w:bCs/>
                <w:sz w:val="22"/>
                <w:szCs w:val="22"/>
              </w:rPr>
              <w:t xml:space="preserve">L2.3  Adoption subsidies matter. Singapore paid PwC consultants to push tech to law firms. Legal-TechAI: find your equivalent — DLSA funding, Agami grant, or Ministry pilot funding. Subsidize the first 50 users to build the habit.</w:t>
            </w:r>
          </w:p>
          <w:p>
            <w:pPr>
              <w:spacing w:after="80" w:before="80"/>
            </w:pPr>
            <w:r>
              <w:rPr>
                <w:rFonts w:ascii="Arial" w:cs="Arial" w:eastAsia="Arial" w:hAnsi="Arial"/>
                <w:b/>
                <w:bCs/>
                <w:sz w:val="22"/>
                <w:szCs w:val="22"/>
              </w:rPr>
              <w:t xml:space="preserve">L2.4  Mandate beats incentive. Singapore mandated e-filing. India won’t do this top-down. So Legal-TechAI: find existing mandates (PP conviction rate accountability, IRDAI fraud detection) and insert there. Work with mandates that already exist.</w:t>
            </w:r>
          </w:p>
          <w:p>
            <w:pPr>
              <w:spacing w:after="80" w:before="80"/>
            </w:pPr>
            <w:r>
              <w:rPr>
                <w:rFonts w:ascii="Arial" w:cs="Arial" w:eastAsia="Arial" w:hAnsi="Arial"/>
                <w:b/>
                <w:bCs/>
                <w:sz w:val="22"/>
                <w:szCs w:val="22"/>
              </w:rPr>
              <w:t xml:space="preserve">L2.5  Engage the regulatory sandbox. Singapore’s LIFTED framework lets companies test before full compliance. SC AI Regulations 2026 are creating India’s equivalent. Legal-TechAI should engage the consultation process now and propose to be a sandbox participant during the Apex Body’s pilot phase. First movers in regulatory processes shape the regulation.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2910"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3</w:t>
            </w:r>
          </w:p>
          <w:p>
            <w:pPr>
              <w:jc w:val="center"/>
            </w:pPr>
            <w:r>
              <w:rPr>
                <w:rFonts w:ascii="Arial" w:cs="Arial" w:eastAsia="Arial" w:hAnsi="Arial"/>
                <w:b/>
                <w:bCs/>
                <w:color w:val="FFFFFF"/>
                <w:sz w:val="32"/>
                <w:szCs w:val="32"/>
              </w:rPr>
              <w:t xml:space="preserve">CHINA: SPEED, SCALE, AND THE ETHICAL LINES NEVER TO CROSS</w:t>
            </w:r>
          </w:p>
        </w:tc>
      </w:tr>
    </w:tbl>
    <w:p>
      <w:pPr>
        <w:spacing w:after="0" w:before="80"/>
      </w:pPr>
    </w:p>
    <w:p>
      <w:pPr>
        <w:pStyle w:val="Heading1"/>
      </w:pPr>
      <w:r>
        <w:rPr>
          <w:rFonts w:ascii="Arial" w:cs="Arial" w:eastAsia="Arial" w:hAnsi="Arial"/>
          <w:b/>
          <w:bCs/>
          <w:color w:val="1F3864"/>
          <w:sz w:val="32"/>
          <w:szCs w:val="32"/>
        </w:rPr>
        <w:t xml:space="preserve">3.1 — INTERNET PLUS AND THE SMART COURT PROGRAMME</w:t>
      </w:r>
    </w:p>
    <w:p>
      <w:pPr>
        <w:spacing w:after="80" w:before="80"/>
      </w:pPr>
      <w:r>
        <w:rPr>
          <w:rFonts w:ascii="Arial" w:cs="Arial" w:eastAsia="Arial" w:hAnsi="Arial"/>
          <w:sz w:val="22"/>
          <w:szCs w:val="22"/>
        </w:rPr>
        <w:t xml:space="preserve">In March 2015, Premier Li Keqiang announced ‘Internet Plus’: integrate the internet, cloud computing, and big data with traditional industries including justice. The Supreme People’s Court (SPC) translated this into the Smart Court (\u667a\u6167\u6cd5\u9662) programme through its Five-Year Reform Plans. The SPC issues binding judicial interpretations and can mandate technology adoption across all 3,500+ courts nationally. What took Estonia 20 years and Singapore 15 years, China compressed into 8.</w:t>
      </w:r>
    </w:p>
    <w:p>
      <w:pPr>
        <w:spacing w:after="0" w:before="80"/>
      </w:pPr>
    </w:p>
    <w:p>
      <w:pPr>
        <w:pStyle w:val="Heading1"/>
      </w:pPr>
      <w:r>
        <w:rPr>
          <w:rFonts w:ascii="Arial" w:cs="Arial" w:eastAsia="Arial" w:hAnsi="Arial"/>
          <w:b/>
          <w:bCs/>
          <w:color w:val="1F3864"/>
          <w:sz w:val="32"/>
          <w:szCs w:val="32"/>
        </w:rPr>
        <w:t xml:space="preserve">3.2 — THE INTERNET COURTS: WORLD FIRSTS AT SPEED</w:t>
      </w:r>
    </w:p>
    <w:p>
      <w:pPr>
        <w:pStyle w:val="Heading2"/>
      </w:pPr>
      <w:r>
        <w:rPr>
          <w:rFonts w:ascii="Arial" w:cs="Arial" w:eastAsia="Arial" w:hAnsi="Arial"/>
          <w:b/>
          <w:bCs/>
          <w:color w:val="2E74B5"/>
          <w:sz w:val="26"/>
          <w:szCs w:val="26"/>
        </w:rPr>
        <w:t xml:space="preserve">Hangzhou Internet Court (August 2017)</w:t>
      </w:r>
    </w:p>
    <w:p>
      <w:pPr>
        <w:spacing w:after="80" w:before="80"/>
      </w:pPr>
      <w:r>
        <w:rPr>
          <w:rFonts w:ascii="Arial" w:cs="Arial" w:eastAsia="Arial" w:hAnsi="Arial"/>
          <w:sz w:val="22"/>
          <w:szCs w:val="22"/>
        </w:rPr>
        <w:t xml:space="preserve">The world’s first internet court was established in Hangzhou for e-commerce disputes. The entire proceeding — filing to judgment — is conducted online. AI systems generate the majority of draft judgments; a judge reviews and issues the final ruling.</w:t>
      </w:r>
    </w:p>
    <w:p>
      <w:pPr>
        <w:spacing w:after="80" w:before="80"/>
      </w:pPr>
      <w:r>
        <w:rPr>
          <w:rFonts w:ascii="Arial" w:cs="Arial" w:eastAsia="Arial" w:hAnsi="Arial"/>
          <w:sz w:val="22"/>
          <w:szCs w:val="22"/>
        </w:rPr>
        <w:t xml:space="preserve">Two-year statistics (2017–2019): 20,000+ cases; 92% online filing rate; trial time reduced 66%; case lifecycle reduced 25%; 99% cases resulted in judgment; 98% voluntary performance of judgments. These figures come from official SPC reports; the directional improvement is confirmed by independent international observers.</w:t>
      </w:r>
    </w:p>
    <w:p>
      <w:pPr>
        <w:spacing w:after="0" w:before="80"/>
      </w:pPr>
    </w:p>
    <w:p>
      <w:pPr>
        <w:pStyle w:val="Heading2"/>
      </w:pPr>
      <w:r>
        <w:rPr>
          <w:rFonts w:ascii="Arial" w:cs="Arial" w:eastAsia="Arial" w:hAnsi="Arial"/>
          <w:b/>
          <w:bCs/>
          <w:color w:val="2E74B5"/>
          <w:sz w:val="26"/>
          <w:szCs w:val="26"/>
        </w:rPr>
        <w:t xml:space="preserve">National Rollout</w:t>
      </w:r>
    </w:p>
    <w:p>
      <w:pPr>
        <w:spacing w:after="80" w:before="80"/>
      </w:pPr>
      <w:r>
        <w:rPr>
          <w:rFonts w:ascii="Arial" w:cs="Arial" w:eastAsia="Arial" w:hAnsi="Arial"/>
          <w:sz w:val="22"/>
          <w:szCs w:val="22"/>
        </w:rPr>
        <w:t xml:space="preserve">Beijing Internet Court (September 2018): 34,263 new cases in year one, 25,333 concluded. Guangzhou Internet Court (November 2018): cross-border e-commerce and maritime cases. By November 2024, the SPC unveiled a national AI platform containing 320 million pieces of legal information. Target: all courts using AI by 2025; AI fully embedded by 2030.</w:t>
      </w:r>
    </w:p>
    <w:p>
      <w:pPr>
        <w:spacing w:after="0" w:before="80"/>
      </w:pPr>
    </w:p>
    <w:p>
      <w:pPr>
        <w:pStyle w:val="Heading1"/>
      </w:pPr>
      <w:r>
        <w:rPr>
          <w:rFonts w:ascii="Arial" w:cs="Arial" w:eastAsia="Arial" w:hAnsi="Arial"/>
          <w:b/>
          <w:bCs/>
          <w:color w:val="1F3864"/>
          <w:sz w:val="32"/>
          <w:szCs w:val="32"/>
        </w:rPr>
        <w:t xml:space="preserve">3.3 — CHINA JUDGMENTS ONLINE: THE DATA INFRASTRUCTURE PLAY</w:t>
      </w:r>
    </w:p>
    <w:p>
      <w:pPr>
        <w:spacing w:after="80" w:before="80"/>
      </w:pPr>
      <w:r>
        <w:rPr>
          <w:rFonts w:ascii="Arial" w:cs="Arial" w:eastAsia="Arial" w:hAnsi="Arial"/>
          <w:sz w:val="22"/>
          <w:szCs w:val="22"/>
        </w:rPr>
        <w:t xml:space="preserve">In July 2013, the SPC mandated every court to publish every judgment online. Courts that didn’t publish faced administrative consequences. By February 2018: 42.78 million judgments published, 13.34 billion page visits. By 2025: 105.6 million court decisions available. During January–November 2024: 8.1 million new judgments published — a 67.3% year-on-year increase. China Judgments Online is the world’s largest court judgment database by orders of magnitude.</w:t>
      </w:r>
    </w:p>
    <w:p>
      <w:pPr>
        <w:spacing w:after="80" w:before="80"/>
      </w:pPr>
      <w:r>
        <w:rPr>
          <w:rFonts w:ascii="Arial" w:cs="Arial" w:eastAsia="Arial" w:hAnsi="Arial"/>
          <w:sz w:val="22"/>
          <w:szCs w:val="22"/>
        </w:rPr>
        <w:t xml:space="preserve">The strategic implication: China trained its AI judicial systems on 100+ million judgments. No other country has this. India’s NJDG contains much less structured full-text judgment data. Legal-TechAI’s deterministic inconsistency engine — which does not need training data because it uses arithmetic reasoning — avoids this constraint entirely. This is a structural advantage: preserve it.</w:t>
      </w:r>
    </w:p>
    <w:p>
      <w:pPr>
        <w:spacing w:after="0" w:before="80"/>
      </w:pPr>
    </w:p>
    <w:p>
      <w:pPr>
        <w:pStyle w:val="Heading1"/>
      </w:pPr>
      <w:r>
        <w:rPr>
          <w:rFonts w:ascii="Arial" w:cs="Arial" w:eastAsia="Arial" w:hAnsi="Arial"/>
          <w:b/>
          <w:bCs/>
          <w:color w:val="1F3864"/>
          <w:sz w:val="32"/>
          <w:szCs w:val="32"/>
        </w:rPr>
        <w:t xml:space="preserve">3.4 — BLOCKCHAIN EVIDENCE: A TRANSFERABLE INNOVATION</w:t>
      </w:r>
    </w:p>
    <w:p>
      <w:pPr>
        <w:spacing w:after="80" w:before="80"/>
      </w:pPr>
      <w:r>
        <w:rPr>
          <w:rFonts w:ascii="Arial" w:cs="Arial" w:eastAsia="Arial" w:hAnsi="Arial"/>
          <w:sz w:val="22"/>
          <w:szCs w:val="22"/>
        </w:rPr>
        <w:t xml:space="preserve">In June 2018, the Hangzhou Internet Court became the first court in the world to accept blockchain-stored evidence as admissible. The SPC formalized this in a September 2018 judicial interpretation: evidence stored via distributed ledger technology is presumptively authentic unless challenged.</w:t>
      </w:r>
    </w:p>
    <w:p>
      <w:pPr>
        <w:spacing w:after="80" w:before="80"/>
      </w:pPr>
      <w:r>
        <w:rPr>
          <w:rFonts w:ascii="Arial" w:cs="Arial" w:eastAsia="Arial" w:hAnsi="Arial"/>
          <w:sz w:val="22"/>
          <w:szCs w:val="22"/>
        </w:rPr>
        <w:t xml:space="preserve">India’s Bharatiya Sakshya Adhiniyam 2023 (BSA) treats electronic records as primary evidence under Section 63, and a computer-generated output with a Section 63B certificate is admissible. This is the Indian statutory analogue to China’s blockchain evidence framework. Legal-TechAI’s SHA-256 hashing is the technical foundation for BSA S.63 compliance.</w:t>
      </w:r>
    </w:p>
    <w:p>
      <w:pPr>
        <w:spacing w:after="0" w:before="80"/>
      </w:pPr>
    </w:p>
    <w:p>
      <w:pPr>
        <w:pStyle w:val="Heading1"/>
      </w:pPr>
      <w:r>
        <w:rPr>
          <w:rFonts w:ascii="Arial" w:cs="Arial" w:eastAsia="Arial" w:hAnsi="Arial"/>
          <w:b/>
          <w:bCs/>
          <w:color w:val="1F3864"/>
          <w:sz w:val="32"/>
          <w:szCs w:val="32"/>
        </w:rPr>
        <w:t xml:space="preserve">3.5 — WHAT NOT TO COPY: THE ABSOLUTE ETHICAL LINES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60"/>
              <w:left w:type="dxa" w:w="240"/>
              <w:bottom w:type="dxa" w:w="160"/>
              <w:right w:type="dxa" w:w="240"/>
            </w:tcMar>
          </w:tcPr>
          <w:p>
            <w:pPr>
              <w:spacing w:after="80" w:before="80"/>
            </w:pPr>
            <w:r>
              <w:rPr>
                <w:rFonts w:ascii="Arial" w:cs="Arial" w:eastAsia="Arial" w:hAnsi="Arial"/>
                <w:b/>
                <w:bCs/>
                <w:color w:val="C00000"/>
                <w:sz w:val="22"/>
                <w:szCs w:val="22"/>
              </w:rPr>
              <w:t xml:space="preserve">WARNING: THESE ARE NON-NEGOTIABLE ETHICAL BOUNDARIES FOR LEGAL-TECHAI. CROSSING THEM VIOLATES INDIAN LAW UNDER SC AI REGULATIONS 2026, DESTROYS TRUST WITH THE COURTS, AND REPLICATES CHINA’S DOCUMENTED ABUSES.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China’s Practice</w:t>
            </w:r>
          </w:p>
        </w:tc>
        <w:tc>
          <w:tcPr>
            <w:tcW w:type="dxa" w:w="6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Legal-TechAI Must Never Do This</w:t>
            </w:r>
          </w:p>
        </w:tc>
      </w:tr>
      <w:tr>
        <w:tc>
          <w:tcPr>
            <w:tcW w:type="dxa" w:w="32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b/>
                <w:bCs/>
                <w:color w:val="C00000"/>
                <w:sz w:val="20"/>
                <w:szCs w:val="20"/>
              </w:rPr>
              <w:t xml:space="preserve">AI determines bail eligibility</w:t>
            </w:r>
          </w:p>
        </w:tc>
        <w:tc>
          <w:tcPr>
            <w:tcW w:type="dxa" w:w="616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sz w:val="20"/>
                <w:szCs w:val="20"/>
              </w:rPr>
              <w:t xml:space="preserve">The SPC’s pre-trial risk assessment systems determine detention vs release. SC Draft AI Regulations 2026 explicitly prohibit this. More fundamentally: bail decisions involve human liberty. Any algorithm encoding the biases of past wrongful detentions perpetuates them at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AI assesses witness credibility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China’s 206 System scores witness reliability. Scoring human credibility by machine is indistinguishable from prejudice-encoding at scale. Legal-TechAI detects factual contradictions. It does NOT assess whether any person is truthful.</w:t>
            </w:r>
          </w:p>
        </w:tc>
      </w:tr>
      <w:tr>
        <w:tc>
          <w:tcPr>
            <w:tcW w:type="dxa" w:w="32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b/>
                <w:bCs/>
                <w:color w:val="C00000"/>
                <w:sz w:val="20"/>
                <w:szCs w:val="20"/>
              </w:rPr>
              <w:t xml:space="preserve">Political case filtering</w:t>
            </w:r>
          </w:p>
        </w:tc>
        <w:tc>
          <w:tcPr>
            <w:tcW w:type="dxa" w:w="616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sz w:val="20"/>
                <w:szCs w:val="20"/>
              </w:rPr>
              <w:t xml:space="preserve">Smart courts automatically detect ‘sensitive’ cases for Party review without judicial knowledge. Legal-TechAI sets only one type of flag: factual inconsistency. Never political sensitivity.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The smart prison pipeline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AI identifies suspect → AI assists investigation → AI assists prosecution → AI assists judge → AI manages prison sentence. The entire system from arrest to sentence is AI-mediated with no meaningful human review. This is not justice automation — it is justice elimination.</w:t>
            </w:r>
          </w:p>
        </w:tc>
      </w:tr>
      <w:tr>
        <w:tc>
          <w:tcPr>
            <w:tcW w:type="dxa" w:w="320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b/>
                <w:bCs/>
                <w:color w:val="C00000"/>
                <w:sz w:val="20"/>
                <w:szCs w:val="20"/>
              </w:rPr>
              <w:t xml:space="preserve">Risk scoring of individuals</w:t>
            </w:r>
          </w:p>
        </w:tc>
        <w:tc>
          <w:tcPr>
            <w:tcW w:type="dxa" w:w="6160"/>
            <w:tcBorders>
              <w:top w:val="single" w:color="CCCCCC" w:sz="4"/>
              <w:left w:val="single" w:color="CCCCCC" w:sz="4"/>
              <w:bottom w:val="single" w:color="CCCCCC" w:sz="4"/>
              <w:right w:val="single" w:color="CCCCCC" w:sz="4"/>
            </w:tcBorders>
            <w:shd w:fill="FFE6E6" w:val="clear"/>
            <w:tcMar>
              <w:top w:type="dxa" w:w="80"/>
              <w:left w:type="dxa" w:w="120"/>
              <w:bottom w:type="dxa" w:w="80"/>
              <w:right w:type="dxa" w:w="120"/>
            </w:tcMar>
          </w:tcPr>
          <w:p>
            <w:r>
              <w:rPr>
                <w:rFonts w:ascii="Arial" w:cs="Arial" w:eastAsia="Arial" w:hAnsi="Arial"/>
                <w:sz w:val="20"/>
                <w:szCs w:val="20"/>
              </w:rPr>
              <w:t xml:space="preserve">Social credit-style scoring of litigants, witnesses, or lawyers based on past case behavior. Even if technically possible with NJDG data, this violates judicial independence and personal liberty in every framework.</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Undisclosed AI use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Chinese courts use AI without disclosing it to parties. SC Regulations 2026 mandate disclosure. Indian courts and users must always know when AI has been involved. Make this disclosure explicit, permanent, and non-dismissible.</w:t>
            </w:r>
          </w:p>
        </w:tc>
      </w:tr>
    </w:tbl>
    <w:p>
      <w:pPr>
        <w:spacing w:after="0" w:before="80"/>
      </w:pPr>
    </w:p>
    <w:p>
      <w:pPr>
        <w:spacing w:after="80" w:before="80"/>
      </w:pPr>
      <w:r>
        <w:rPr>
          <w:rFonts w:ascii="Arial" w:cs="Arial" w:eastAsia="Arial" w:hAnsi="Arial"/>
          <w:sz w:val="22"/>
          <w:szCs w:val="22"/>
        </w:rPr>
        <w:t xml:space="preserve">The Oxford Institute for Technology and Justice documented in 2025 that AI is ‘deeply embedded in China’s criminal justice system in ways that operate outside meaningful human oversight.’ A defendant caught through AI surveillance, prosecuted with AI-generated evidence summaries, judged with AI-drafted judgments, and sentenced to an AI-managed prison has had no meaningful human decision-maker in their case.</w:t>
      </w:r>
    </w:p>
    <w:p>
      <w:pPr>
        <w:spacing w:after="0" w:before="80"/>
      </w:pPr>
    </w:p>
    <w:p>
      <w:pPr>
        <w:pStyle w:val="Heading1"/>
      </w:pPr>
      <w:r>
        <w:rPr>
          <w:rFonts w:ascii="Arial" w:cs="Arial" w:eastAsia="Arial" w:hAnsi="Arial"/>
          <w:b/>
          <w:bCs/>
          <w:color w:val="1F3864"/>
          <w:sz w:val="32"/>
          <w:szCs w:val="32"/>
        </w:rPr>
        <w:t xml:space="preserve">3.6 — WHAT TO ADAPT ETHICALLY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pStyle w:val="ListParagraph"/>
              <w:numPr>
                <w:ilvl w:val="0"/>
                <w:numId w:val="3"/>
              </w:numPr>
              <w:spacing w:after="60" w:before="60"/>
            </w:pPr>
            <w:r>
              <w:rPr>
                <w:rFonts w:ascii="Arial" w:cs="Arial" w:eastAsia="Arial" w:hAnsi="Arial"/>
                <w:sz w:val="22"/>
                <w:szCs w:val="22"/>
              </w:rPr>
              <w:t xml:space="preserve">Transparency databases. China Judgments Online is a public good. India should have all HC and SC judgments fully text-searchable. Legal-TechAI: use and contribute to OpenNyAI’s growing corpus of Indian legal judgments.</w:t>
            </w:r>
          </w:p>
          <w:p>
            <w:pPr>
              <w:pStyle w:val="ListParagraph"/>
              <w:numPr>
                <w:ilvl w:val="0"/>
                <w:numId w:val="3"/>
              </w:numPr>
              <w:spacing w:after="60" w:before="60"/>
            </w:pPr>
            <w:r>
              <w:rPr>
                <w:rFonts w:ascii="Arial" w:cs="Arial" w:eastAsia="Arial" w:hAnsi="Arial"/>
                <w:sz w:val="22"/>
                <w:szCs w:val="22"/>
              </w:rPr>
              <w:t xml:space="preserve">Structured AI assistance. Generating a judgment draft that a judge reviews and signs is legitimate — if the judge actually reviews it. Legal-TechAI’s inconsistency report assists lawyers to prepare better arguments; the lawyer’s judgment is never replaced.</w:t>
            </w:r>
          </w:p>
          <w:p>
            <w:pPr>
              <w:pStyle w:val="ListParagraph"/>
              <w:numPr>
                <w:ilvl w:val="0"/>
                <w:numId w:val="3"/>
              </w:numPr>
              <w:spacing w:after="60" w:before="60"/>
            </w:pPr>
            <w:r>
              <w:rPr>
                <w:rFonts w:ascii="Arial" w:cs="Arial" w:eastAsia="Arial" w:hAnsi="Arial"/>
                <w:sz w:val="22"/>
                <w:szCs w:val="22"/>
              </w:rPr>
              <w:t xml:space="preserve">Blockchain evidence standards. China’s 2018 judicial interpretation is a transferable model. India’s BSA S.63 already allows this. Legal-TechAI should produce immutability proofs structured for BSA compliance.</w:t>
            </w:r>
          </w:p>
          <w:p>
            <w:pPr>
              <w:pStyle w:val="ListParagraph"/>
              <w:numPr>
                <w:ilvl w:val="0"/>
                <w:numId w:val="3"/>
              </w:numPr>
              <w:spacing w:after="60" w:before="60"/>
            </w:pPr>
            <w:r>
              <w:rPr>
                <w:rFonts w:ascii="Arial" w:cs="Arial" w:eastAsia="Arial" w:hAnsi="Arial"/>
                <w:sz w:val="22"/>
                <w:szCs w:val="22"/>
              </w:rPr>
              <w:t xml:space="preserve">Cross-court standardization. China mandated one judgment format across 3,500 courts. Legal-TechAI: propose a standard JSON output format for criminal evidence inconsistency reports. If you define the format, you define the standard.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3"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4</w:t>
            </w:r>
          </w:p>
          <w:p>
            <w:pPr>
              <w:jc w:val="center"/>
            </w:pPr>
            <w:r>
              <w:rPr>
                <w:rFonts w:ascii="Arial" w:cs="Arial" w:eastAsia="Arial" w:hAnsi="Arial"/>
                <w:b/>
                <w:bCs/>
                <w:color w:val="FFFFFF"/>
                <w:sz w:val="32"/>
                <w:szCs w:val="32"/>
              </w:rPr>
              <w:t xml:space="preserve">INDIA BASELINE: AN HONEST RECKONING</w:t>
            </w:r>
          </w:p>
        </w:tc>
      </w:tr>
    </w:tbl>
    <w:p>
      <w:pPr>
        <w:spacing w:after="0" w:before="80"/>
      </w:pPr>
    </w:p>
    <w:p>
      <w:pPr>
        <w:pStyle w:val="Heading1"/>
      </w:pPr>
      <w:r>
        <w:rPr>
          <w:rFonts w:ascii="Arial" w:cs="Arial" w:eastAsia="Arial" w:hAnsi="Arial"/>
          <w:b/>
          <w:bCs/>
          <w:color w:val="1F3864"/>
          <w:sz w:val="32"/>
          <w:szCs w:val="32"/>
        </w:rPr>
        <w:t xml:space="preserve">4.1 — E-COURTS PHASE I (2010–2015): COMPUTERS WITHOUT CONNECTIVITY</w:t>
      </w:r>
    </w:p>
    <w:p>
      <w:pPr>
        <w:spacing w:after="80" w:before="80"/>
      </w:pPr>
      <w:r>
        <w:rPr>
          <w:rFonts w:ascii="Arial" w:cs="Arial" w:eastAsia="Arial" w:hAnsi="Arial"/>
          <w:sz w:val="22"/>
          <w:szCs w:val="22"/>
        </w:rPr>
        <w:t xml:space="preserve">Phase I budget: ₹935 crore. Goal: computerize 14,249 district and subordinate courts; create a national case management system; deploy video conferencing. What was delivered: computers in approximately 13,672 courts; CIS software deployed; court websites created. What wasn’t delivered: reliable internet connectivity in rural courts (power and bandwidth both unreliable); CIS data was often entered incorrectly by contract staff, making the database unreliable for building products; video conferencing used rarely due to bandwidth and training gaps.</w:t>
      </w:r>
    </w:p>
    <w:p>
      <w:pPr>
        <w:spacing w:after="80" w:before="80"/>
      </w:pPr>
      <w:r>
        <w:rPr>
          <w:rFonts w:ascii="Arial" w:cs="Arial" w:eastAsia="Arial" w:hAnsi="Arial"/>
          <w:sz w:val="22"/>
          <w:szCs w:val="22"/>
        </w:rPr>
        <w:t xml:space="preserve">Honest assessment of Phase I: it created the scaffolding but not the building. Courts had computers. Lawyers continued filing physically. The data was too unreliable to build analytical products on. Phase I was necessary but not sufficient.</w:t>
      </w:r>
    </w:p>
    <w:p>
      <w:pPr>
        <w:spacing w:after="0" w:before="80"/>
      </w:pPr>
    </w:p>
    <w:p>
      <w:pPr>
        <w:pStyle w:val="Heading1"/>
      </w:pPr>
      <w:r>
        <w:rPr>
          <w:rFonts w:ascii="Arial" w:cs="Arial" w:eastAsia="Arial" w:hAnsi="Arial"/>
          <w:b/>
          <w:bCs/>
          <w:color w:val="1F3864"/>
          <w:sz w:val="32"/>
          <w:szCs w:val="32"/>
        </w:rPr>
        <w:t xml:space="preserve">4.2 — E-COURTS PHASE II (2015–2023): NJDG AND THE COVID CATALYST</w:t>
      </w:r>
    </w:p>
    <w:p>
      <w:pPr>
        <w:spacing w:after="80" w:before="80"/>
      </w:pPr>
      <w:r>
        <w:rPr>
          <w:rFonts w:ascii="Arial" w:cs="Arial" w:eastAsia="Arial" w:hAnsi="Arial"/>
          <w:sz w:val="22"/>
          <w:szCs w:val="22"/>
        </w:rPr>
        <w:t xml:space="preserve">Phase II budget: ₹1,670 crore. Timeline: 2015–2023. Major outcome: the National Judicial Data Grid (NJDG) — a genuine achievement. Live data on 55.8 million pending cases updated daily by 18,735 courts. Case status, hearing dates, CNR numbers, all publicly queryable. This is India’s equivalent of Estonia’s X-Road at the court data layer: imperfect, but real and available.</w:t>
      </w:r>
    </w:p>
    <w:p>
      <w:pPr>
        <w:spacing w:after="80" w:before="80"/>
      </w:pPr>
      <w:r>
        <w:rPr>
          <w:rFonts w:ascii="Arial" w:cs="Arial" w:eastAsia="Arial" w:hAnsi="Arial"/>
          <w:sz w:val="22"/>
          <w:szCs w:val="22"/>
        </w:rPr>
        <w:t xml:space="preserve">What also worked: COVID accelerated virtual hearings. All HCs and the SC conducted hearings via Cisco WebEx/Vidyo during 2020–2022, normalizing the practice. e-Filing launched at most HCs; Bombay HC e-filing has been operational since 2018.</w:t>
      </w:r>
    </w:p>
    <w:p>
      <w:pPr>
        <w:spacing w:after="80" w:before="80"/>
      </w:pPr>
      <w:r>
        <w:rPr>
          <w:rFonts w:ascii="Arial" w:cs="Arial" w:eastAsia="Arial" w:hAnsi="Arial"/>
          <w:sz w:val="22"/>
          <w:szCs w:val="22"/>
        </w:rPr>
        <w:t xml:space="preserve">What didn’t work: only 35-40% of district courts have operational e-filing. 60-70% of practicing advocates have never used e-filing. e-Summons are technically deployed but practically unused — paper summons remain the norm. Change management was not built into the programme.</w:t>
      </w:r>
    </w:p>
    <w:p>
      <w:pPr>
        <w:spacing w:after="0" w:before="80"/>
      </w:pPr>
    </w:p>
    <w:p>
      <w:pPr>
        <w:pStyle w:val="Heading1"/>
      </w:pPr>
      <w:r>
        <w:rPr>
          <w:rFonts w:ascii="Arial" w:cs="Arial" w:eastAsia="Arial" w:hAnsi="Arial"/>
          <w:b/>
          <w:bCs/>
          <w:color w:val="1F3864"/>
          <w:sz w:val="32"/>
          <w:szCs w:val="32"/>
        </w:rPr>
        <w:t xml:space="preserve">4.3 — E-COURTS PHASE III (2023–2027): AMBITION AND EARLY SHORTFALLS</w:t>
      </w:r>
    </w:p>
    <w:p>
      <w:pPr>
        <w:spacing w:after="80" w:before="80"/>
      </w:pPr>
      <w:r>
        <w:rPr>
          <w:rFonts w:ascii="Arial" w:cs="Arial" w:eastAsia="Arial" w:hAnsi="Arial"/>
          <w:sz w:val="22"/>
          <w:szCs w:val="22"/>
        </w:rPr>
        <w:t xml:space="preserve">Phase III approved September 2023: ₹7,210 crore over 4 years — the largest technology investment in India’s judicial history. Goals: digitize all legacy paper records (estimated 20+ crore files); universal e-filing; AI for case scheduling and research; OCR for scanned documents; video conferencing in every court and jail; cloud-based national court repository; interoperability with police, prosecution, prisons, forensic labs.</w:t>
      </w:r>
    </w:p>
    <w:p>
      <w:pPr>
        <w:spacing w:after="80" w:before="80"/>
      </w:pPr>
      <w:r>
        <w:rPr>
          <w:rFonts w:ascii="Arial" w:cs="Arial" w:eastAsia="Arial" w:hAnsi="Arial"/>
          <w:sz w:val="22"/>
          <w:szCs w:val="22"/>
        </w:rPr>
        <w:t xml:space="preserve">Budget 2026-27 reality: ₹1,200 crore allocated (vs. ₹1,500 crore estimate — 20% shortfall already in year 3). Legacy record digitization is underway in some HCs (Bombay, Madras, Delhi are leaders) but not standardized. AI deployment is in pilot stages at the SC level. Universal e-filing has not been achieved.</w:t>
      </w:r>
    </w:p>
    <w:p>
      <w:pPr>
        <w:spacing w:after="0" w:before="80"/>
      </w:pPr>
    </w:p>
    <w:p>
      <w:pPr>
        <w:pStyle w:val="Heading1"/>
      </w:pPr>
      <w:r>
        <w:rPr>
          <w:rFonts w:ascii="Arial" w:cs="Arial" w:eastAsia="Arial" w:hAnsi="Arial"/>
          <w:b/>
          <w:bCs/>
          <w:color w:val="1F3864"/>
          <w:sz w:val="32"/>
          <w:szCs w:val="32"/>
        </w:rPr>
        <w:t xml:space="preserve">4.4 — WHY INDIA LAGS: THE STRUCTURAL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Honest Explanation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4053"/>
                <w:sz w:val="20"/>
                <w:szCs w:val="20"/>
              </w:rPr>
              <w:t xml:space="preserve">Judicial independence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Courts control their own adoption pace. No ministry can mandate how district courts use technology. The SC’s e-Committee recommends; it cannot compel. Estonia’s government digitized services because it controlled them. India’s government does not control courts.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4053"/>
                <w:sz w:val="20"/>
                <w:szCs w:val="20"/>
              </w:rPr>
              <w:t xml:space="preserve">Language fragmentation</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India has 22 official languages and 1,600+ spoken languages. Every court software must work in 5-6 languages per state. CIS was built in English; vernacular support took years to add. China operates in one working language. Singapore courts operate in English.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4053"/>
                <w:sz w:val="20"/>
                <w:szCs w:val="20"/>
              </w:rPr>
              <w:t xml:space="preserve">Bar resistance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India’s legal profession is 1.5 million registered advocates and is politically influential. The Bar Council of India has repeatedly resisted automation of processes that generate income for its members. Singapore mandated e-filing. India has negotiated.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4053"/>
                <w:sz w:val="20"/>
                <w:szCs w:val="20"/>
              </w:rPr>
              <w:t xml:space="preserve">Connectivity gaps</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200+ million Indians lack consistent internet access as of 2025. Rural courts in Bihar, UP, Rajasthan, Odisha — where pendency is highest — have unreliable power and internet. Phase III’s video conferencing mandate is meaningless without connectivity.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4053"/>
                <w:sz w:val="20"/>
                <w:szCs w:val="20"/>
              </w:rPr>
              <w:t xml:space="preserve">Procurement culture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Government technology procurement runs through NIC and GeM. Lowest-bid procurement consistently produces the least innovative solutions. Estonia built in-house with a small number of high-quality partners.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4053"/>
                <w:sz w:val="20"/>
                <w:szCs w:val="20"/>
              </w:rPr>
              <w:t xml:space="preserve">Fragmented authority</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Courts: Judiciary. Prisons: State Home Ministry. Prosecution: State Law Department. Police: State Home. Forensic labs: Ministry of Science or State Home. An integrated criminal justice digital stack requires coordination across 5 institutional silos with no common reporting authority.</w:t>
            </w:r>
          </w:p>
        </w:tc>
      </w:tr>
    </w:tbl>
    <w:p>
      <w:pPr>
        <w:spacing w:after="0" w:before="80"/>
      </w:pPr>
    </w:p>
    <w:p>
      <w:pPr>
        <w:pStyle w:val="Heading1"/>
      </w:pPr>
      <w:r>
        <w:rPr>
          <w:rFonts w:ascii="Arial" w:cs="Arial" w:eastAsia="Arial" w:hAnsi="Arial"/>
          <w:b/>
          <w:bCs/>
          <w:color w:val="1F3864"/>
          <w:sz w:val="32"/>
          <w:szCs w:val="32"/>
        </w:rPr>
        <w:t xml:space="preserve">4.5 — WHERE LEGAL-TECHAI’S REAL OPENINGS ARE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pStyle w:val="ListParagraph"/>
              <w:numPr>
                <w:ilvl w:val="0"/>
                <w:numId w:val="3"/>
              </w:numPr>
              <w:spacing w:after="60" w:before="60"/>
            </w:pPr>
            <w:r>
              <w:rPr>
                <w:rFonts w:ascii="Arial" w:cs="Arial" w:eastAsia="Arial" w:hAnsi="Arial"/>
                <w:b/>
                <w:bCs/>
                <w:sz w:val="22"/>
                <w:szCs w:val="22"/>
              </w:rPr>
              <w:t xml:space="preserve">SC Draft AI Regulations 2026 (released June 3, 2026): A governance framework is being created NOW. The Apex Body will approve AI systems for court use. Being on the first approved vendor list creates a 3-5 year moat. The companies that engage the consultation process now will shape the framework they will then be regulated by.</w:t>
            </w:r>
          </w:p>
          <w:p>
            <w:pPr>
              <w:pStyle w:val="ListParagraph"/>
              <w:numPr>
                <w:ilvl w:val="0"/>
                <w:numId w:val="3"/>
              </w:numPr>
              <w:spacing w:after="60" w:before="60"/>
            </w:pPr>
            <w:r>
              <w:rPr>
                <w:rFonts w:ascii="Arial" w:cs="Arial" w:eastAsia="Arial" w:hAnsi="Arial"/>
                <w:b/>
                <w:bCs/>
                <w:sz w:val="22"/>
                <w:szCs w:val="22"/>
              </w:rPr>
              <w:t xml:space="preserve">eCourts Phase III AI focus: Phase III explicitly includes AI for case analysis and forecasting, OCR for document processing. This is funded and in execution. Legal-TechAI can be a Phase III implementation partner.</w:t>
            </w:r>
          </w:p>
          <w:p>
            <w:pPr>
              <w:pStyle w:val="ListParagraph"/>
              <w:numPr>
                <w:ilvl w:val="0"/>
                <w:numId w:val="3"/>
              </w:numPr>
              <w:spacing w:after="60" w:before="60"/>
            </w:pPr>
            <w:r>
              <w:rPr>
                <w:rFonts w:ascii="Arial" w:cs="Arial" w:eastAsia="Arial" w:hAnsi="Arial"/>
                <w:b/>
                <w:bCs/>
                <w:sz w:val="22"/>
                <w:szCs w:val="22"/>
              </w:rPr>
              <w:t xml:space="preserve">NJDG as foundation: CNR case data is public. Any company can build on it. This is India’s X-Road at the court data layer. It is imperfect — use it anyway. Build on it and it gets better.</w:t>
            </w:r>
          </w:p>
          <w:p>
            <w:pPr>
              <w:pStyle w:val="ListParagraph"/>
              <w:numPr>
                <w:ilvl w:val="0"/>
                <w:numId w:val="3"/>
              </w:numPr>
              <w:spacing w:after="60" w:before="60"/>
            </w:pPr>
            <w:r>
              <w:rPr>
                <w:rFonts w:ascii="Arial" w:cs="Arial" w:eastAsia="Arial" w:hAnsi="Arial"/>
                <w:b/>
                <w:bCs/>
                <w:sz w:val="22"/>
                <w:szCs w:val="22"/>
              </w:rPr>
              <w:t xml:space="preserve">OpenNyAI: the most important open door. Agami and OpenNyAI are building the AI DPG (Digital Public Good) layer for Indian justice. Legal-TechAI’s inconsistency engine as an application layer on OpenNyAI’s Legal NER is the most natural integration in the Indian legal-tech ecosystem.</w:t>
            </w:r>
          </w:p>
          <w:p>
            <w:pPr>
              <w:pStyle w:val="ListParagraph"/>
              <w:numPr>
                <w:ilvl w:val="0"/>
                <w:numId w:val="3"/>
              </w:numPr>
              <w:spacing w:after="60" w:before="60"/>
            </w:pPr>
            <w:r>
              <w:rPr>
                <w:rFonts w:ascii="Arial" w:cs="Arial" w:eastAsia="Arial" w:hAnsi="Arial"/>
                <w:b/>
                <w:bCs/>
                <w:sz w:val="22"/>
                <w:szCs w:val="22"/>
              </w:rPr>
              <w:t xml:space="preserve">BSA S.63 + S.65B: India’s new evidence law modernized electronic evidence standards. Every digital output Legal-TechAI generates can be structured for BSA compliance from Day 1.</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5</w:t>
            </w:r>
          </w:p>
          <w:p>
            <w:pPr>
              <w:jc w:val="center"/>
            </w:pPr>
            <w:r>
              <w:rPr>
                <w:rFonts w:ascii="Arial" w:cs="Arial" w:eastAsia="Arial" w:hAnsi="Arial"/>
                <w:b/>
                <w:bCs/>
                <w:color w:val="FFFFFF"/>
                <w:sz w:val="32"/>
                <w:szCs w:val="32"/>
              </w:rPr>
              <w:t xml:space="preserve">COMPARATIVE SYNTHESIS: WHAT MADE THEM SUCCEED</w:t>
            </w:r>
          </w:p>
        </w:tc>
      </w:tr>
    </w:tbl>
    <w:p>
      <w:pPr>
        <w:spacing w:after="0" w:before="80"/>
      </w:pPr>
    </w:p>
    <w:p>
      <w:pPr>
        <w:pStyle w:val="Heading1"/>
      </w:pPr>
      <w:r>
        <w:rPr>
          <w:rFonts w:ascii="Arial" w:cs="Arial" w:eastAsia="Arial" w:hAnsi="Arial"/>
          <w:b/>
          <w:bCs/>
          <w:color w:val="1F3864"/>
          <w:sz w:val="32"/>
          <w:szCs w:val="32"/>
        </w:rPr>
        <w:t xml:space="preserve">5.1 — SEVEN PATTERNS COMMON TO ALL THREE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Across All Three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Foundation before features</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Estonia: X-Road (2001) before e-services. Singapore: SingPass (2003) before MyInfo (2016). China: Judgments Online (2013) before smart courts (2017). In every case: the data infrastructure preceded the intelligent application by years.</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Identity is the keystone</w:t>
            </w:r>
          </w:p>
        </w:tc>
        <w:tc>
          <w:tcPr>
            <w:tcW w:type="dxa" w:w="6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Estonia: national e-ID. Singapore: SingPass, 97% coverage. China: national ID integrated across all systems. Without verified identity, no digital trust at scale is possible.</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Mandatory beats voluntary</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Estonia phased out paper filings. Singapore mandated 100% e-filing. China ordered all courts to publish judgments. None relied on voluntary adoption for critical infrastructure. Incentives work at the margin; mandates work at scale.</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Long governance horizon</w:t>
            </w:r>
          </w:p>
        </w:tc>
        <w:tc>
          <w:tcPr>
            <w:tcW w:type="dxa" w:w="6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Estonia: 30+ years of consistent digital strategy across 8 governments. Singapore: Smart Nation plans span decades, SNDGG reports to PM. China: SPC Five-Year Plans are enforced. None treated this as a ‘project.’ All treated it as institutional commitment.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5</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State builds pipes; private sector builds value</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Estonia’s X-Road is used by banks. Singapore’s MyInfo is used by 800 private companies. China’s Judgments Online trained private AI companies. Governments built the infrastructure; private sector built the value on top.</w:t>
            </w:r>
          </w:p>
        </w:tc>
      </w:tr>
      <w:tr>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Cyber resilience built in from the start</w:t>
            </w:r>
          </w:p>
        </w:tc>
        <w:tc>
          <w:tcPr>
            <w:tcW w:type="dxa" w:w="6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Estonia: KSI blockchain after 2007 attacks. Singapore: CSA established 2015. China: domestic-only architecture. All three treated security as a first-order requirement, not an afterthought.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Open data as public good</w:t>
            </w:r>
          </w:p>
        </w:tc>
        <w:tc>
          <w:tcPr>
            <w:tcW w:type="dxa" w:w="6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Estonia’s registries are transparent. Singapore’s SAL published 15,000 unreported judgments with AI summaries. China published 105.6M judgments. Public legal data is a public good — and a private competitive moat for those who build on it first.</w:t>
            </w:r>
          </w:p>
        </w:tc>
      </w:tr>
    </w:tbl>
    <w:p>
      <w:pPr>
        <w:spacing w:after="0" w:before="80"/>
      </w:pPr>
    </w:p>
    <w:p>
      <w:pPr>
        <w:pStyle w:val="Heading1"/>
      </w:pPr>
      <w:r>
        <w:rPr>
          <w:rFonts w:ascii="Arial" w:cs="Arial" w:eastAsia="Arial" w:hAnsi="Arial"/>
          <w:b/>
          <w:bCs/>
          <w:color w:val="1F3864"/>
          <w:sz w:val="32"/>
          <w:szCs w:val="32"/>
        </w:rPr>
        <w:t xml:space="preserve">5.2 — UNIQUE ENABLERS AND INDIA’S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Their Unique Enabler</w:t>
            </w:r>
          </w:p>
        </w:tc>
        <w:tc>
          <w:tcPr>
            <w:tcW w:type="dxa" w:w="4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India’s Workaround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3087"/>
                <w:sz w:val="20"/>
                <w:szCs w:val="20"/>
              </w:rPr>
              <w:t xml:space="preserve">Estonia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No legacy infrastructure — could start fresh</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India has 20+ crore physical court files and 70 years of paper-based procedure. Don’t try to replace the paper system. Build a parallel digital layer alongside it. OCR the existing paper; don’t wait for paper to disappear.</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BF6000"/>
                <w:sz w:val="20"/>
                <w:szCs w:val="20"/>
              </w:rPr>
              <w:t xml:space="preserve">Singapore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Executive authority over courts — government mandated court digitization</w:t>
            </w:r>
          </w:p>
        </w:tc>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India’s judiciary is constitutionally independent. Workaround: work through the SC e-Committee (which has moral authority) and the Law Ministry (which controls Phase III funding). The path is demonstrated value, not mandate.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DE2910"/>
                <w:sz w:val="20"/>
                <w:szCs w:val="20"/>
              </w:rPr>
              <w:t xml:space="preserve">China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State mandate — SPC could order all courts to adopt technology overnight</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India’s SC e-Committee can recommend but not compel. Workaround: find institutional buyers with their own mandates (PP offices on conviction rates; IRDAI on fraud) and insert Legal-TechAI at those existing mandate intersections.</w:t>
            </w:r>
          </w:p>
        </w:tc>
      </w:tr>
    </w:tbl>
    <w:p>
      <w:pPr>
        <w:spacing w:after="0" w:before="80"/>
      </w:pPr>
    </w:p>
    <w:p>
      <w:pPr>
        <w:pStyle w:val="Heading1"/>
      </w:pPr>
      <w:r>
        <w:rPr>
          <w:rFonts w:ascii="Arial" w:cs="Arial" w:eastAsia="Arial" w:hAnsi="Arial"/>
          <w:b/>
          <w:bCs/>
          <w:color w:val="1F3864"/>
          <w:sz w:val="32"/>
          <w:szCs w:val="32"/>
        </w:rPr>
        <w:t xml:space="preserve">5.3 — SC DRAFT AI REGULATIONS 2026: STRATEGIC ANALYSIS</w:t>
      </w:r>
    </w:p>
    <w:p>
      <w:pPr>
        <w:spacing w:after="80" w:before="80"/>
      </w:pPr>
      <w:r>
        <w:rPr>
          <w:rFonts w:ascii="Arial" w:cs="Arial" w:eastAsia="Arial" w:hAnsi="Arial"/>
          <w:sz w:val="22"/>
          <w:szCs w:val="22"/>
        </w:rPr>
        <w:t xml:space="preserve">The Supreme Court released its Draft Regulations for Use of Artificial Intelligence in Courts on June 3, 2026. This is one of the most significant strategic events for Legal-TechAI since the platform went live. It is both a constraint and an opportunity.</w:t>
      </w:r>
    </w:p>
    <w:p>
      <w:pPr>
        <w:pStyle w:val="Heading2"/>
      </w:pPr>
      <w:r>
        <w:rPr>
          <w:rFonts w:ascii="Arial" w:cs="Arial" w:eastAsia="Arial" w:hAnsi="Arial"/>
          <w:b/>
          <w:bCs/>
          <w:color w:val="2E74B5"/>
          <w:sz w:val="26"/>
          <w:szCs w:val="26"/>
        </w:rPr>
        <w:t xml:space="preserve">What the Regulations Say</w:t>
      </w:r>
    </w:p>
    <w:p>
      <w:pPr>
        <w:pStyle w:val="ListParagraph"/>
        <w:numPr>
          <w:ilvl w:val="0"/>
          <w:numId w:val="3"/>
        </w:numPr>
        <w:spacing w:after="60" w:before="60"/>
      </w:pPr>
      <w:r>
        <w:rPr>
          <w:rFonts w:ascii="Arial" w:cs="Arial" w:eastAsia="Arial" w:hAnsi="Arial"/>
          <w:sz w:val="22"/>
          <w:szCs w:val="22"/>
        </w:rPr>
        <w:t xml:space="preserve">Permitted: legal research, drafting assistance, hearing scheduling, transcription, translation, citation verification, case management, record management, judicial administration.</w:t>
      </w:r>
    </w:p>
    <w:p>
      <w:pPr>
        <w:pStyle w:val="ListParagraph"/>
        <w:numPr>
          <w:ilvl w:val="0"/>
          <w:numId w:val="3"/>
        </w:numPr>
        <w:spacing w:after="60" w:before="60"/>
      </w:pPr>
      <w:r>
        <w:rPr>
          <w:rFonts w:ascii="Arial" w:cs="Arial" w:eastAsia="Arial" w:hAnsi="Arial"/>
          <w:sz w:val="22"/>
          <w:szCs w:val="22"/>
        </w:rPr>
        <w:t xml:space="preserve">Prohibited: deciding cases, determining bail eligibility, assessing witness credibility, influencing judicial deliberations, monitoring judges or litigants, risk scoring individuals.</w:t>
      </w:r>
    </w:p>
    <w:p>
      <w:pPr>
        <w:pStyle w:val="ListParagraph"/>
        <w:numPr>
          <w:ilvl w:val="0"/>
          <w:numId w:val="3"/>
        </w:numPr>
        <w:spacing w:after="60" w:before="60"/>
      </w:pPr>
      <w:r>
        <w:rPr>
          <w:rFonts w:ascii="Arial" w:cs="Arial" w:eastAsia="Arial" w:hAnsi="Arial"/>
          <w:sz w:val="22"/>
          <w:szCs w:val="22"/>
        </w:rPr>
        <w:t xml:space="preserve">Disclosure: lawyers must disclose AI use in pleadings. Courts must disclose AI use in administrative decisions.</w:t>
      </w:r>
    </w:p>
    <w:p>
      <w:pPr>
        <w:pStyle w:val="ListParagraph"/>
        <w:numPr>
          <w:ilvl w:val="0"/>
          <w:numId w:val="3"/>
        </w:numPr>
        <w:spacing w:after="60" w:before="60"/>
      </w:pPr>
      <w:r>
        <w:rPr>
          <w:rFonts w:ascii="Arial" w:cs="Arial" w:eastAsia="Arial" w:hAnsi="Arial"/>
          <w:sz w:val="22"/>
          <w:szCs w:val="22"/>
        </w:rPr>
        <w:t xml:space="preserve">Apex Body: a full-time body at SC level approves AI systems. Five sub-committees: judicial, technical, infrastructure, data management, cybersecurity.</w:t>
      </w:r>
    </w:p>
    <w:p>
      <w:pPr>
        <w:pStyle w:val="ListParagraph"/>
        <w:numPr>
          <w:ilvl w:val="0"/>
          <w:numId w:val="3"/>
        </w:numPr>
        <w:spacing w:after="60" w:before="60"/>
      </w:pPr>
      <w:r>
        <w:rPr>
          <w:rFonts w:ascii="Arial" w:cs="Arial" w:eastAsia="Arial" w:hAnsi="Arial"/>
          <w:sz w:val="22"/>
          <w:szCs w:val="22"/>
        </w:rPr>
        <w:t xml:space="preserve">Vendor requirements: prior approval from Apex Body; contractual obligations on data ownership, cybersecurity, audit rights, and liability; source code not shared with external auditors; audits conducted in-house only.</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80" w:before="80"/>
            </w:pPr>
            <w:r>
              <w:rPr>
                <w:rFonts w:ascii="Arial" w:cs="Arial" w:eastAsia="Arial" w:hAnsi="Arial"/>
                <w:b/>
                <w:bCs/>
                <w:color w:val="1F3864"/>
                <w:sz w:val="22"/>
                <w:szCs w:val="22"/>
              </w:rPr>
              <w:t xml:space="preserve">HOW LEGAL-TECHAI MAPS TO THESE REGULATIONS:</w:t>
            </w:r>
          </w:p>
          <w:p>
            <w:pPr>
              <w:spacing w:after="80" w:before="80"/>
            </w:pPr>
            <w:r>
              <w:rPr>
                <w:rFonts w:ascii="Arial" w:cs="Arial" w:eastAsia="Arial" w:hAnsi="Arial"/>
                <w:b/>
                <w:bCs/>
                <w:color w:val="375623"/>
                <w:sz w:val="22"/>
                <w:szCs w:val="22"/>
              </w:rPr>
              <w:t xml:space="preserve">PERMITTED — Inconsistency engine: identifies contradictions for lawyers to use in arguments. Lawyer decides what to do with the output. Engine assists; it does not decide.</w:t>
            </w:r>
          </w:p>
          <w:p>
            <w:pPr>
              <w:spacing w:after="80" w:before="80"/>
            </w:pPr>
            <w:r>
              <w:rPr>
                <w:rFonts w:ascii="Arial" w:cs="Arial" w:eastAsia="Arial" w:hAnsi="Arial"/>
                <w:b/>
                <w:bCs/>
                <w:color w:val="375623"/>
                <w:sz w:val="22"/>
                <w:szCs w:val="22"/>
              </w:rPr>
              <w:t xml:space="preserve">PERMITTED — OCR processing: document processing and case management are explicitly permitted.</w:t>
            </w:r>
          </w:p>
          <w:p>
            <w:pPr>
              <w:spacing w:after="80" w:before="80"/>
            </w:pPr>
            <w:r>
              <w:rPr>
                <w:rFonts w:ascii="Arial" w:cs="Arial" w:eastAsia="Arial" w:hAnsi="Arial"/>
                <w:b/>
                <w:bCs/>
                <w:color w:val="375623"/>
                <w:sz w:val="22"/>
                <w:szCs w:val="22"/>
              </w:rPr>
              <w:t xml:space="preserve">PERMITTED — RAG legal Q&amp;A: legal research and citation verification are explicitly permitted.</w:t>
            </w:r>
          </w:p>
          <w:p>
            <w:pPr>
              <w:spacing w:after="80" w:before="80"/>
            </w:pPr>
            <w:r>
              <w:rPr>
                <w:rFonts w:ascii="Arial" w:cs="Arial" w:eastAsia="Arial" w:hAnsi="Arial"/>
                <w:b/>
                <w:bCs/>
                <w:color w:val="C00000"/>
                <w:sz w:val="22"/>
                <w:szCs w:val="22"/>
              </w:rPr>
              <w:t xml:space="preserve">RISK — Witness credibility scoring: the engine must NEVER output a credibility score for any witness. It flags factual inconsistencies in documents — not whether a person is lying. This distinction must be explicit in the UI, documentation, and every output.</w:t>
            </w:r>
          </w:p>
          <w:p>
            <w:pPr>
              <w:spacing w:after="80" w:before="80"/>
            </w:pPr>
            <w:r>
              <w:rPr>
                <w:rFonts w:ascii="Arial" w:cs="Arial" w:eastAsia="Arial" w:hAnsi="Arial"/>
                <w:b/>
                <w:bCs/>
                <w:color w:val="2E74B5"/>
                <w:sz w:val="22"/>
                <w:szCs w:val="22"/>
              </w:rPr>
              <w:t xml:space="preserve">OPPORTUNITY — Apex Body approval: the first approved vendor cohort has asymmetric advantage. Engage the consultation process. Apply to be a pilot participant. Shape the framework before it hardens.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80"/>
              <w:left w:type="dxa" w:w="300"/>
              <w:bottom w:type="dxa" w:w="180"/>
              <w:right w:type="dxa" w:w="300"/>
            </w:tcMar>
          </w:tcPr>
          <w:p>
            <w:pPr>
              <w:jc w:val="center"/>
            </w:pPr>
            <w:r>
              <w:rPr>
                <w:rFonts w:ascii="Arial" w:cs="Arial" w:eastAsia="Arial" w:hAnsi="Arial"/>
                <w:b/>
                <w:bCs/>
                <w:color w:val="FFFFFF"/>
                <w:sz w:val="20"/>
                <w:szCs w:val="20"/>
              </w:rPr>
              <w:t xml:space="preserve">PART 6</w:t>
            </w:r>
          </w:p>
          <w:p>
            <w:pPr>
              <w:jc w:val="center"/>
            </w:pPr>
            <w:r>
              <w:rPr>
                <w:rFonts w:ascii="Arial" w:cs="Arial" w:eastAsia="Arial" w:hAnsi="Arial"/>
                <w:b/>
                <w:bCs/>
                <w:color w:val="FFFFFF"/>
                <w:sz w:val="32"/>
                <w:szCs w:val="32"/>
              </w:rPr>
              <w:t xml:space="preserve">LEGAL-TECHAI ROADMAP: FROM LESSONS TO EXECUTION</w:t>
            </w:r>
          </w:p>
        </w:tc>
      </w:tr>
    </w:tbl>
    <w:p>
      <w:pPr>
        <w:spacing w:after="0" w:before="80"/>
      </w:pPr>
    </w:p>
    <w:p>
      <w:pPr>
        <w:pStyle w:val="Heading1"/>
      </w:pPr>
      <w:r>
        <w:rPr>
          <w:rFonts w:ascii="Arial" w:cs="Arial" w:eastAsia="Arial" w:hAnsi="Arial"/>
          <w:b/>
          <w:bCs/>
          <w:color w:val="1F3864"/>
          <w:sz w:val="32"/>
          <w:szCs w:val="32"/>
        </w:rPr>
        <w:t xml:space="preserve">6.1 — PHASE 0 (NOW — 3 MONTHS): REGULATORY AND FOUNDATION</w:t>
      </w:r>
    </w:p>
    <w:p>
      <w:pPr>
        <w:spacing w:after="80" w:before="80"/>
      </w:pPr>
      <w:r>
        <w:rPr>
          <w:rFonts w:ascii="Arial" w:cs="Arial" w:eastAsia="Arial" w:hAnsi="Arial"/>
          <w:sz w:val="22"/>
          <w:szCs w:val="22"/>
        </w:rPr>
        <w:t xml:space="preserve">Before anything else: position for the regulatory environment being defined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Submit to SC AI Regulations consultation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Draft regulations released June 3, 2026. Legal-TechAI should submit formal response: affirm support for 5 principles; explain how the inconsistency engine is non-determinative; request to be considered for the pilot Apex Body vendor approval cohort.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Add non-dismissible AI disclaimer to all outputs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Every report must state: ‘This report identifies factual inconsistencies for lawyer review. It does not assess witness credibility, determine case outcomes, or constitute legal advice. Prepared under [lawyer name]’s direction.’ Structurally compliant before compliance is mandatory.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Anchor every report to CNR + court + date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inconsistency report anchored to: CNR case number + court code + case type + date generated. This connects your output to the existing digital court infrastructure and makes it legally traceable.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SHA-256 + UTC timestamp chain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file_hash field in models.py is the start. Add a UTC timestamp and generate a hash chain for every document processed. This is your KSI-equivalent and the foundation for BSA S.63-compliant output.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OpenNyAI GitHub outreach</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File an issue or start a discussion proposing integration. Their Legal NER extracts entities; your engine reasons about those entities’ consistency. Propose a shared output schema.</w:t>
            </w:r>
          </w:p>
        </w:tc>
      </w:tr>
    </w:tbl>
    <w:p>
      <w:pPr>
        <w:spacing w:after="0" w:before="80"/>
      </w:pPr>
    </w:p>
    <w:p>
      <w:pPr>
        <w:pStyle w:val="Heading1"/>
      </w:pPr>
      <w:r>
        <w:rPr>
          <w:rFonts w:ascii="Arial" w:cs="Arial" w:eastAsia="Arial" w:hAnsi="Arial"/>
          <w:b/>
          <w:bCs/>
          <w:color w:val="1F3864"/>
          <w:sz w:val="32"/>
          <w:szCs w:val="32"/>
        </w:rPr>
        <w:t xml:space="preserve">6.2 — PHASE 1 (3–12 MONTHS): ECOSYSTEM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 / 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Pre-Hearing Readiness Checker MVP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Build on NJDG CNR lookup. Lawyer adds case CNR numbers. System alerts 5 days and 48 hours before each hearing: ‘Case listed Monday — confirm witness and document availability.’ WhatsApp Business API. Target: 100 active users tracking 3,000 cases. Metric: adjournment rate in tracked cases vs. control.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First paying customer: HC criminal boutique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Target Bombay HC or Delhi HC criminal defense firm. Focus on UAPA / NDPS / organized crime cases where multi-document inconsistency analysis has high value. Charge Rs. 5,000–15,000 per case analysis. Goal: 10 paid case analyses in 6 months.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MACT insurance company pilot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Approach 2-3 mid-size general insurance companies (Oriental, National, New India Assurance). Pitch: fraud detection for MACT claims. Pilot: 100 claims screened. If 1 fraudulent claim per Rs. 10 lakh is detected, 100 claims pays for the pilot 10× over.</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Agami Prize application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Apply to next Agami Prize cycle. Frame: ‘Building verification infrastructure for criminal proceedings — the category that was unoccupied in the 2022 shortlist.’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Publish the ILIR open schema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Publish Legal-TechAI’s inconsistency report output as a documented, versioned open JSON schema on GitHub: ILIR v1.0 (Indian Legal Inconsistency Report). If you define the schema, you define the standard.</w:t>
            </w:r>
          </w:p>
        </w:tc>
      </w:tr>
    </w:tbl>
    <w:p>
      <w:pPr>
        <w:spacing w:after="0" w:before="80"/>
      </w:pPr>
    </w:p>
    <w:p>
      <w:pPr>
        <w:pStyle w:val="Heading1"/>
      </w:pPr>
      <w:r>
        <w:rPr>
          <w:rFonts w:ascii="Arial" w:cs="Arial" w:eastAsia="Arial" w:hAnsi="Arial"/>
          <w:b/>
          <w:bCs/>
          <w:color w:val="1F3864"/>
          <w:sz w:val="32"/>
          <w:szCs w:val="32"/>
        </w:rPr>
        <w:t xml:space="preserve">6.3 — PHASE 2 (12–24 MONTHS): INSTITUTIONAL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 / Target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State PP office pilot (1 state)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Karnataka or Telangana — highest digital governance scores. Approach the Advocate General’s office. Pitch: PP offices can pre-screen chargesheets before filing to eliminate internal contradictions that defense lawyers exploit. 6-month pilot on 500 chargesheets. If conviction rate improves 5% vs. control: this becomes a national story.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Apex Body: become an approved vendor</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The Apex Body will constitute in 2026-2027 and begin approving AI systems. Legal-TechAI should be on the first approved list. Requirements: documented algorithm, explainability, data handling policy, audit trail. Build all four in Phase 0-1.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eCourts Phase III integration proposal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Approach SC e-Committee through the OpenNyAI ecosystem. Propose Legal-TechAI’s inconsistency engine as a quality validation layer: when a chargesheet is filed digitally, it is automatically run through the engine and a consistency report generated.</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DLSA / NALSA free access for undertrials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Partner with NALSA to provide inconsistency engine access free to all DLSA panel lawyers in criminal cases. Grant-funded. Serves the people who need it most. Builds moral authority the product needs for regulatory trust.</w:t>
            </w:r>
          </w:p>
        </w:tc>
      </w:tr>
    </w:tbl>
    <w:p>
      <w:pPr>
        <w:spacing w:after="0" w:before="80"/>
      </w:pPr>
    </w:p>
    <w:p>
      <w:pPr>
        <w:pStyle w:val="Heading1"/>
      </w:pPr>
      <w:r>
        <w:rPr>
          <w:rFonts w:ascii="Arial" w:cs="Arial" w:eastAsia="Arial" w:hAnsi="Arial"/>
          <w:b/>
          <w:bCs/>
          <w:color w:val="1F3864"/>
          <w:sz w:val="32"/>
          <w:szCs w:val="32"/>
        </w:rPr>
        <w:t xml:space="preserve">6.4 — PHASE 3 (24–48 MONTHS): NATIONAL SCALE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pStyle w:val="ListParagraph"/>
              <w:numPr>
                <w:ilvl w:val="0"/>
                <w:numId w:val="3"/>
              </w:numPr>
              <w:spacing w:after="60" w:before="60"/>
            </w:pPr>
            <w:r>
              <w:rPr>
                <w:rFonts w:ascii="Arial" w:cs="Arial" w:eastAsia="Arial" w:hAnsi="Arial"/>
                <w:sz w:val="22"/>
                <w:szCs w:val="22"/>
              </w:rPr>
              <w:t xml:space="preserve">eCourts Phase IV positioning: eCourts will have a Phase IV. Legal-TechAI should be a reference implementation for criminal evidence quality assurance by then.</w:t>
            </w:r>
          </w:p>
          <w:p>
            <w:pPr>
              <w:pStyle w:val="ListParagraph"/>
              <w:numPr>
                <w:ilvl w:val="0"/>
                <w:numId w:val="3"/>
              </w:numPr>
              <w:spacing w:after="60" w:before="60"/>
            </w:pPr>
            <w:r>
              <w:rPr>
                <w:rFonts w:ascii="Arial" w:cs="Arial" w:eastAsia="Arial" w:hAnsi="Arial"/>
                <w:sz w:val="22"/>
                <w:szCs w:val="22"/>
              </w:rPr>
              <w:t xml:space="preserve">Developer API open to third parties: Legal-TechAI’s inconsistency engine as an API that any Indian legaltech company can call. Revenue: Rs. 50-200 per document pair analyzed. At 1 million pairs/month: Rs. 5-20 crore/month in API revenue.</w:t>
            </w:r>
          </w:p>
          <w:p>
            <w:pPr>
              <w:pStyle w:val="ListParagraph"/>
              <w:numPr>
                <w:ilvl w:val="0"/>
                <w:numId w:val="3"/>
              </w:numPr>
              <w:spacing w:after="60" w:before="60"/>
            </w:pPr>
            <w:r>
              <w:rPr>
                <w:rFonts w:ascii="Arial" w:cs="Arial" w:eastAsia="Arial" w:hAnsi="Arial"/>
                <w:sz w:val="22"/>
                <w:szCs w:val="22"/>
              </w:rPr>
              <w:t xml:space="preserve">International expansion: Bangladesh, Sri Lanka, Nepal, and Myanmar all have legal systems derived from the same British colonial foundation as India. BNS/BNSS/BSA analogs exist in all four countries. A South Asia Criminal Evidence Standard (SACES) anchored by Legal-TechAI is a realistic 5-year outcome.</w:t>
            </w:r>
          </w:p>
          <w:p>
            <w:pPr>
              <w:pStyle w:val="ListParagraph"/>
              <w:numPr>
                <w:ilvl w:val="0"/>
                <w:numId w:val="3"/>
              </w:numPr>
              <w:spacing w:after="60" w:before="60"/>
            </w:pPr>
            <w:r>
              <w:rPr>
                <w:rFonts w:ascii="Arial" w:cs="Arial" w:eastAsia="Arial" w:hAnsi="Arial"/>
                <w:sz w:val="22"/>
                <w:szCs w:val="22"/>
              </w:rPr>
              <w:t xml:space="preserve">Data asset: by Phase 3, Legal-TechAI will have analyzed tens of thousands of Indian criminal case documents. Properly anonymized, this is a research and training asset worth more than the product itself.</w:t>
            </w:r>
          </w:p>
        </w:tc>
      </w:tr>
    </w:tbl>
    <w:p>
      <w:r>
        <w:br w:type="page"/>
      </w:r>
    </w:p>
    <w:p>
      <w:pPr>
        <w:pStyle w:val="Heading1"/>
      </w:pPr>
      <w:r>
        <w:rPr>
          <w:rFonts w:ascii="Arial" w:cs="Arial" w:eastAsia="Arial" w:hAnsi="Arial"/>
          <w:b/>
          <w:bCs/>
          <w:color w:val="1F3864"/>
          <w:sz w:val="32"/>
          <w:szCs w:val="32"/>
        </w:rPr>
        <w:t xml:space="preserve">TOP 15 HIGHEST-LEVERAGE LESSONS FOR LEGAL-TECHAI</w:t>
      </w:r>
    </w:p>
    <w:p>
      <w:pPr>
        <w:spacing w:after="80" w:before="80"/>
      </w:pPr>
      <w:r>
        <w:rPr>
          <w:rFonts w:ascii="Arial" w:cs="Arial" w:eastAsia="Arial" w:hAnsi="Arial"/>
          <w:b/>
          <w:bCs/>
          <w:color w:val="1F3864"/>
          <w:sz w:val="22"/>
          <w:szCs w:val="22"/>
        </w:rPr>
        <w:t xml:space="preserve">Ranked by strategic importance. Each carries one concrete Monday-morning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Lesson + Source</w:t>
            </w:r>
          </w:p>
        </w:tc>
        <w:tc>
          <w:tcPr>
            <w:tcW w:type="dxa" w:w="5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Monday Morning Action</w:t>
            </w:r>
          </w:p>
        </w:tc>
      </w:tr>
      <w:tr>
        <w:tc>
          <w:tcPr>
            <w:tcW w:type="dxa" w:w="480"/>
            <w:tcBorders>
              <w:top w:val="single" w:color="CCCCCC" w:sz="4"/>
              <w:left w:val="single" w:color="CCCCCC" w:sz="4"/>
              <w:bottom w:val="single" w:color="CCCCCC" w:sz="4"/>
              <w:right w:val="single" w:color="CCCCCC" w:sz="4"/>
            </w:tcBorders>
            <w:shd w:fill="1F3864"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Build the pipe, not just the app</w:t>
            </w:r>
          </w:p>
          <w:p>
            <w:pPr>
              <w:spacing w:after="0" w:before="0"/>
            </w:pPr>
            <w:r>
              <w:rPr>
                <w:rFonts w:ascii="Arial" w:cs="Arial" w:eastAsia="Arial" w:hAnsi="Arial"/>
                <w:i/>
                <w:iCs/>
                <w:color w:val="666666"/>
                <w:sz w:val="17"/>
                <w:szCs w:val="17"/>
              </w:rPr>
              <w:t xml:space="preserve">Estonia: X-Road before e-services</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Publish the inconsistency engine as a documented REST API with a versioned JSON schema (v1.0). Even if no one else calls it yet — defining the API surface forces Legal-TechAI to think as infrastructure, not a product.</w:t>
            </w:r>
          </w:p>
        </w:tc>
      </w:tr>
      <w:tr>
        <w:tc>
          <w:tcPr>
            <w:tcW w:type="dxa" w:w="480"/>
            <w:tcBorders>
              <w:top w:val="single" w:color="CCCCCC" w:sz="4"/>
              <w:left w:val="single" w:color="CCCCCC" w:sz="4"/>
              <w:bottom w:val="single" w:color="CCCCCC" w:sz="4"/>
              <w:right w:val="single" w:color="CCCCCC" w:sz="4"/>
            </w:tcBorders>
            <w:shd w:fill="1F3864" w:val="clear"/>
            <w:tcMar>
              <w:top w:type="dxa" w:w="80"/>
              <w:left w:type="dxa" w:w="60"/>
              <w:bottom w:type="dxa" w:w="80"/>
              <w:right w:type="dxa" w:w="60"/>
            </w:tcMar>
          </w:tcPr>
          <w:p>
            <w:pPr>
              <w:jc w:val="center"/>
            </w:pPr>
            <w:r>
              <w:rPr>
                <w:rFonts w:ascii="Arial" w:cs="Arial" w:eastAsia="Arial" w:hAnsi="Arial"/>
                <w:b/>
                <w:bCs/>
                <w:color w:val="FFFFFF"/>
                <w:sz w:val="22"/>
                <w:szCs w:val="22"/>
              </w:rPr>
              <w:t xml:space="preserve">#2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Compliance is a product feature</w:t>
            </w:r>
          </w:p>
          <w:p>
            <w:pPr>
              <w:spacing w:after="0" w:before="0"/>
            </w:pPr>
            <w:r>
              <w:rPr>
                <w:rFonts w:ascii="Arial" w:cs="Arial" w:eastAsia="Arial" w:hAnsi="Arial"/>
                <w:i/>
                <w:iCs/>
                <w:color w:val="666666"/>
                <w:sz w:val="17"/>
                <w:szCs w:val="17"/>
              </w:rPr>
              <w:t xml:space="preserve">SC Regulations 2026 are a design specification</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Add a non-dismissible, legally precise disclaimer to every output today. ‘This report is assistive, not determinative. Final assessment is by counsel.’ Be the most SC-compliant AI legal tool in India before compliance is mandatory.</w:t>
            </w:r>
          </w:p>
        </w:tc>
      </w:tr>
      <w:tr>
        <w:tc>
          <w:tcPr>
            <w:tcW w:type="dxa" w:w="480"/>
            <w:tcBorders>
              <w:top w:val="single" w:color="CCCCCC" w:sz="4"/>
              <w:left w:val="single" w:color="CCCCCC" w:sz="4"/>
              <w:bottom w:val="single" w:color="CCCCCC" w:sz="4"/>
              <w:right w:val="single" w:color="CCCCCC" w:sz="4"/>
            </w:tcBorders>
            <w:shd w:fill="1F3864" w:val="clear"/>
            <w:tcMar>
              <w:top w:type="dxa" w:w="80"/>
              <w:left w:type="dxa" w:w="60"/>
              <w:bottom w:type="dxa" w:w="80"/>
              <w:right w:type="dxa" w:w="60"/>
            </w:tcMar>
          </w:tcPr>
          <w:p>
            <w:pPr>
              <w:jc w:val="center"/>
            </w:pPr>
            <w:r>
              <w:rPr>
                <w:rFonts w:ascii="Arial" w:cs="Arial" w:eastAsia="Arial" w:hAnsi="Arial"/>
                <w:b/>
                <w:bCs/>
                <w:color w:val="FFFFFF"/>
                <w:sz w:val="22"/>
                <w:szCs w:val="22"/>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Solve identity first</w:t>
            </w:r>
          </w:p>
          <w:p>
            <w:pPr>
              <w:spacing w:after="0" w:before="0"/>
            </w:pPr>
            <w:r>
              <w:rPr>
                <w:rFonts w:ascii="Arial" w:cs="Arial" w:eastAsia="Arial" w:hAnsi="Arial"/>
                <w:i/>
                <w:iCs/>
                <w:color w:val="666666"/>
                <w:sz w:val="17"/>
                <w:szCs w:val="17"/>
              </w:rPr>
              <w:t xml:space="preserve">Estonia e-ID, Singapore SingPass — both started here</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Anchor every inconsistency report to: CNR number + court + date + parties. Without this, your output is legally ungrounded and cannot be used as a court exhibit.</w:t>
            </w:r>
          </w:p>
        </w:tc>
      </w:tr>
      <w:tr>
        <w:tc>
          <w:tcPr>
            <w:tcW w:type="dxa" w:w="480"/>
            <w:tcBorders>
              <w:top w:val="single" w:color="CCCCCC" w:sz="4"/>
              <w:left w:val="single" w:color="CCCCCC" w:sz="4"/>
              <w:bottom w:val="single" w:color="CCCCCC" w:sz="4"/>
              <w:right w:val="single" w:color="CCCCCC" w:sz="4"/>
            </w:tcBorders>
            <w:shd w:fill="2E74B5" w:val="clear"/>
            <w:tcMar>
              <w:top w:type="dxa" w:w="80"/>
              <w:left w:type="dxa" w:w="60"/>
              <w:bottom w:type="dxa" w:w="80"/>
              <w:right w:type="dxa" w:w="60"/>
            </w:tcMar>
          </w:tcPr>
          <w:p>
            <w:pPr>
              <w:jc w:val="center"/>
            </w:pPr>
            <w:r>
              <w:rPr>
                <w:rFonts w:ascii="Arial" w:cs="Arial" w:eastAsia="Arial" w:hAnsi="Arial"/>
                <w:b/>
                <w:bCs/>
                <w:color w:val="FFFFFF"/>
                <w:sz w:val="22"/>
                <w:szCs w:val="22"/>
              </w:rPr>
              <w:t xml:space="preserve">#4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Open data as competitive moat</w:t>
            </w:r>
          </w:p>
          <w:p>
            <w:pPr>
              <w:spacing w:after="0" w:before="0"/>
            </w:pPr>
            <w:r>
              <w:rPr>
                <w:rFonts w:ascii="Arial" w:cs="Arial" w:eastAsia="Arial" w:hAnsi="Arial"/>
                <w:i/>
                <w:iCs/>
                <w:color w:val="666666"/>
                <w:sz w:val="17"/>
                <w:szCs w:val="17"/>
              </w:rPr>
              <w:t xml:space="preserve">China: 105.6M judgments. Singapore: 15K AI-summarized decisions</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Engage OpenNyAI GitHub today. Propose that Legal-TechAI’s entity extraction output follows OpenNyAI’s Legal NER schema. The merged corpus becomes the best Indian criminal document dataset in existence.</w:t>
            </w:r>
          </w:p>
        </w:tc>
      </w:tr>
      <w:tr>
        <w:tc>
          <w:tcPr>
            <w:tcW w:type="dxa" w:w="480"/>
            <w:tcBorders>
              <w:top w:val="single" w:color="CCCCCC" w:sz="4"/>
              <w:left w:val="single" w:color="CCCCCC" w:sz="4"/>
              <w:bottom w:val="single" w:color="CCCCCC" w:sz="4"/>
              <w:right w:val="single" w:color="CCCCCC" w:sz="4"/>
            </w:tcBorders>
            <w:shd w:fill="2E74B5" w:val="clear"/>
            <w:tcMar>
              <w:top w:type="dxa" w:w="80"/>
              <w:left w:type="dxa" w:w="60"/>
              <w:bottom w:type="dxa" w:w="80"/>
              <w:right w:type="dxa" w:w="60"/>
            </w:tcMar>
          </w:tcPr>
          <w:p>
            <w:pPr>
              <w:jc w:val="center"/>
            </w:pPr>
            <w:r>
              <w:rPr>
                <w:rFonts w:ascii="Arial" w:cs="Arial" w:eastAsia="Arial" w:hAnsi="Arial"/>
                <w:b/>
                <w:bCs/>
                <w:color w:val="FFFFFF"/>
                <w:sz w:val="22"/>
                <w:szCs w:val="22"/>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Audit trail = trust</w:t>
            </w:r>
          </w:p>
          <w:p>
            <w:pPr>
              <w:spacing w:after="0" w:before="0"/>
            </w:pPr>
            <w:r>
              <w:rPr>
                <w:rFonts w:ascii="Arial" w:cs="Arial" w:eastAsia="Arial" w:hAnsi="Arial"/>
                <w:i/>
                <w:iCs/>
                <w:color w:val="666666"/>
                <w:sz w:val="17"/>
                <w:szCs w:val="17"/>
              </w:rPr>
              <w:t xml:space="preserve">Estonia’s KSI blockchain was built AFTER the 2007 attacks. Don’t wait.</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Generate SHA-256 hash + UTC timestamp for every document processed. Store as immutable record. BSA S.63-compliant proof that the document was in this state when analyzed.</w:t>
            </w:r>
          </w:p>
        </w:tc>
      </w:tr>
      <w:tr>
        <w:tc>
          <w:tcPr>
            <w:tcW w:type="dxa" w:w="480"/>
            <w:tcBorders>
              <w:top w:val="single" w:color="CCCCCC" w:sz="4"/>
              <w:left w:val="single" w:color="CCCCCC" w:sz="4"/>
              <w:bottom w:val="single" w:color="CCCCCC" w:sz="4"/>
              <w:right w:val="single" w:color="CCCCCC" w:sz="4"/>
            </w:tcBorders>
            <w:shd w:fill="2E74B5" w:val="clear"/>
            <w:tcMar>
              <w:top w:type="dxa" w:w="80"/>
              <w:left w:type="dxa" w:w="60"/>
              <w:bottom w:type="dxa" w:w="80"/>
              <w:right w:type="dxa" w:w="60"/>
            </w:tcMar>
          </w:tcPr>
          <w:p>
            <w:pPr>
              <w:jc w:val="center"/>
            </w:pPr>
            <w:r>
              <w:rPr>
                <w:rFonts w:ascii="Arial" w:cs="Arial" w:eastAsia="Arial" w:hAnsi="Arial"/>
                <w:b/>
                <w:bCs/>
                <w:color w:val="FFFFFF"/>
                <w:sz w:val="22"/>
                <w:szCs w:val="22"/>
              </w:rPr>
              <w:t xml:space="preserve">#6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Mandatory beats voluntary</w:t>
            </w:r>
          </w:p>
          <w:p>
            <w:pPr>
              <w:spacing w:after="0" w:before="0"/>
            </w:pPr>
            <w:r>
              <w:rPr>
                <w:rFonts w:ascii="Arial" w:cs="Arial" w:eastAsia="Arial" w:hAnsi="Arial"/>
                <w:i/>
                <w:iCs/>
                <w:color w:val="666666"/>
                <w:sz w:val="17"/>
                <w:szCs w:val="17"/>
              </w:rPr>
              <w:t xml:space="preserve">All three countries used mandates for critical adoption</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Find the mandate that already exists: PP offices on conviction rates, IRDAI on fraud detection, NALSA on undertrial service. Insert Legal-TechAI at these existing mandate intersections.</w:t>
            </w:r>
          </w:p>
        </w:tc>
      </w:tr>
      <w:tr>
        <w:tc>
          <w:tcPr>
            <w:tcW w:type="dxa" w:w="480"/>
            <w:tcBorders>
              <w:top w:val="single" w:color="CCCCCC" w:sz="4"/>
              <w:left w:val="single" w:color="CCCCCC" w:sz="4"/>
              <w:bottom w:val="single" w:color="CCCCCC" w:sz="4"/>
              <w:right w:val="single" w:color="CCCCCC" w:sz="4"/>
            </w:tcBorders>
            <w:shd w:fill="2E74B5" w:val="clear"/>
            <w:tcMar>
              <w:top w:type="dxa" w:w="80"/>
              <w:left w:type="dxa" w:w="60"/>
              <w:bottom w:type="dxa" w:w="80"/>
              <w:right w:type="dxa" w:w="60"/>
            </w:tcMar>
          </w:tcPr>
          <w:p>
            <w:pPr>
              <w:jc w:val="center"/>
            </w:pPr>
            <w:r>
              <w:rPr>
                <w:rFonts w:ascii="Arial" w:cs="Arial" w:eastAsia="Arial" w:hAnsi="Arial"/>
                <w:b/>
                <w:bCs/>
                <w:color w:val="FFFFFF"/>
                <w:sz w:val="22"/>
                <w:szCs w:val="22"/>
              </w:rPr>
              <w:t xml:space="preserve">#7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Format for the judge’s desk</w:t>
            </w:r>
          </w:p>
          <w:p>
            <w:pPr>
              <w:spacing w:after="0" w:before="0"/>
            </w:pPr>
            <w:r>
              <w:rPr>
                <w:rFonts w:ascii="Arial" w:cs="Arial" w:eastAsia="Arial" w:hAnsi="Arial"/>
                <w:i/>
                <w:iCs/>
                <w:color w:val="666666"/>
                <w:sz w:val="17"/>
                <w:szCs w:val="17"/>
              </w:rPr>
              <w:t xml:space="preserve">Singapore’s eLitigation produces court-formatted output</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Redesign the inconsistency report as a court exhibit. Add case number, date, exhibit reference, lawyer attribution. A dashboard is for lawyers; an exhibit is for judges.</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#8</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Small geography first</w:t>
            </w:r>
          </w:p>
          <w:p>
            <w:pPr>
              <w:spacing w:after="0" w:before="0"/>
            </w:pPr>
            <w:r>
              <w:rPr>
                <w:rFonts w:ascii="Arial" w:cs="Arial" w:eastAsia="Arial" w:hAnsi="Arial"/>
                <w:i/>
                <w:iCs/>
                <w:color w:val="666666"/>
                <w:sz w:val="17"/>
                <w:szCs w:val="17"/>
              </w:rPr>
              <w:t xml:space="preserve">Estonia: 1 jurisdiction. Singapore: 1 city. China: Hangzhou before national rollout</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Target Bombay HC Sessions Courts. One court complex. One case type (criminal sessions). Depth before breadth. Do not try to be useful in all 25 HCs simultaneously.</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Once-only principle eliminates friction</w:t>
            </w:r>
          </w:p>
          <w:p>
            <w:pPr>
              <w:spacing w:after="0" w:before="0"/>
            </w:pPr>
            <w:r>
              <w:rPr>
                <w:rFonts w:ascii="Arial" w:cs="Arial" w:eastAsia="Arial" w:hAnsi="Arial"/>
                <w:i/>
                <w:iCs/>
                <w:color w:val="666666"/>
                <w:sz w:val="17"/>
                <w:szCs w:val="17"/>
              </w:rPr>
              <w:t xml:space="preserve">Estonia: citizens provide data once, systems reuse it</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Integrate NJDG CNR lookup so a lawyer entering a case number gets all public case data auto-populated. Stop making lawyers re-enter party names, dates, and court details already in NJDG.</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#10</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Engage regulation before it hardens</w:t>
            </w:r>
          </w:p>
          <w:p>
            <w:pPr>
              <w:spacing w:after="0" w:before="0"/>
            </w:pPr>
            <w:r>
              <w:rPr>
                <w:rFonts w:ascii="Arial" w:cs="Arial" w:eastAsia="Arial" w:hAnsi="Arial"/>
                <w:i/>
                <w:iCs/>
                <w:color w:val="666666"/>
                <w:sz w:val="17"/>
                <w:szCs w:val="17"/>
              </w:rPr>
              <w:t xml:space="preserve">Estonia shaped EU data protection law. Singapore shaped ASEAN digital frameworks.</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Submit formal comments to SC AI Regulations 2026 consultation. Reference specific provisions. Propose that inconsistency detection be explicitly listed as a permitted use in the final regulation.</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Never decide — always assist</w:t>
            </w:r>
          </w:p>
          <w:p>
            <w:pPr>
              <w:spacing w:after="0" w:before="0"/>
            </w:pPr>
            <w:r>
              <w:rPr>
                <w:rFonts w:ascii="Arial" w:cs="Arial" w:eastAsia="Arial" w:hAnsi="Arial"/>
                <w:i/>
                <w:iCs/>
                <w:color w:val="666666"/>
                <w:sz w:val="17"/>
                <w:szCs w:val="17"/>
              </w:rPr>
              <w:t xml:space="preserve">SC Regulations 2026 prohibit AI deciding bail, assessing credibility. China violated this.</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UI element must make this distinction visible. Output header: ‘INCONSISTENCY DETECTED — for advocate review’ — not ‘WITNESS LIED.’ The language of the tool defines how it is used.</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Deterministic beats probabilistic for courts</w:t>
            </w:r>
          </w:p>
          <w:p>
            <w:pPr>
              <w:spacing w:after="0" w:before="0"/>
            </w:pPr>
            <w:r>
              <w:rPr>
                <w:rFonts w:ascii="Arial" w:cs="Arial" w:eastAsia="Arial" w:hAnsi="Arial"/>
                <w:i/>
                <w:iCs/>
                <w:color w:val="666666"/>
                <w:sz w:val="17"/>
                <w:szCs w:val="17"/>
              </w:rPr>
              <w:t xml:space="preserve">China’s ML systems carry bias. Estonia’s blockchain is trusted because it is mathematically verifiable.</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Document explicitly that the physical impossibility engine uses arithmetic reasoning, not machine learning. This is Legal-TechAI’s most defensible property in a court context. Preserve it in every investor and government presentation.</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Long governance horizon</w:t>
            </w:r>
          </w:p>
          <w:p>
            <w:pPr>
              <w:spacing w:after="0" w:before="0"/>
            </w:pPr>
            <w:r>
              <w:rPr>
                <w:rFonts w:ascii="Arial" w:cs="Arial" w:eastAsia="Arial" w:hAnsi="Arial"/>
                <w:i/>
                <w:iCs/>
                <w:color w:val="666666"/>
                <w:sz w:val="17"/>
                <w:szCs w:val="17"/>
              </w:rPr>
              <w:t xml:space="preserve">All three countries had 10-20 year strategies. None were project-based.</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Write a 5-year milestone document. What does Legal-TechAI look like in 2031? What is the ARR? Case volume processed? Institutional footprint? Companies that don’t know where they’re going optimize for the wrong things.</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State builds pipes; private sector builds value</w:t>
            </w:r>
          </w:p>
          <w:p>
            <w:pPr>
              <w:spacing w:after="0" w:before="0"/>
            </w:pPr>
            <w:r>
              <w:rPr>
                <w:rFonts w:ascii="Arial" w:cs="Arial" w:eastAsia="Arial" w:hAnsi="Arial"/>
                <w:i/>
                <w:iCs/>
                <w:color w:val="666666"/>
                <w:sz w:val="17"/>
                <w:szCs w:val="17"/>
              </w:rPr>
              <w:t xml:space="preserve">Estonia’s X-Road used by banks. Singapore’s MyInfo used by 800 companies.</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eCourts Phase III is building the pipes. Legal-TechAI builds the value on top. Never try to replace eCourts. Position always as the intelligence layer that makes eCourts data more useful.</w:t>
            </w:r>
          </w:p>
        </w:tc>
      </w:tr>
      <w:tr>
        <w:tc>
          <w:tcPr>
            <w:tcW w:type="dxa" w:w="480"/>
            <w:tcBorders>
              <w:top w:val="single" w:color="CCCCCC" w:sz="4"/>
              <w:left w:val="single" w:color="CCCCCC" w:sz="4"/>
              <w:bottom w:val="single" w:color="CCCCCC" w:sz="4"/>
              <w:right w:val="single" w:color="CCCCCC" w:sz="4"/>
            </w:tcBorders>
            <w:shd w:fill="375623" w:val="clear"/>
            <w:tcMar>
              <w:top w:type="dxa" w:w="80"/>
              <w:left w:type="dxa" w:w="60"/>
              <w:bottom w:type="dxa" w:w="80"/>
              <w:right w:type="dxa" w:w="60"/>
            </w:tcMar>
          </w:tcPr>
          <w:p>
            <w:pPr>
              <w:jc w:val="center"/>
            </w:pPr>
            <w:r>
              <w:rPr>
                <w:rFonts w:ascii="Arial" w:cs="Arial" w:eastAsia="Arial" w:hAnsi="Arial"/>
                <w:b/>
                <w:bCs/>
                <w:color w:val="FFFFFF"/>
                <w:sz w:val="22"/>
                <w:szCs w:val="22"/>
              </w:rPr>
              <w:t xml:space="preserve">#15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19"/>
                <w:szCs w:val="19"/>
              </w:rPr>
              <w:t xml:space="preserve">The ecosystem is the product</w:t>
            </w:r>
          </w:p>
          <w:p>
            <w:pPr>
              <w:spacing w:after="0" w:before="0"/>
            </w:pPr>
            <w:r>
              <w:rPr>
                <w:rFonts w:ascii="Arial" w:cs="Arial" w:eastAsia="Arial" w:hAnsi="Arial"/>
                <w:i/>
                <w:iCs/>
                <w:color w:val="666666"/>
                <w:sz w:val="17"/>
                <w:szCs w:val="17"/>
              </w:rPr>
              <w:t xml:space="preserve">Estonia’s value: X-Road network. Singapore’s value: MyInfo ecosystem.</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Legal-TechAI’s long-term value is not the inconsistency engine. It is becoming the standard for what a legally valid evidence inconsistency report looks like in India. Define that standard before anyone else does.</w:t>
            </w:r>
          </w:p>
        </w:tc>
      </w:tr>
    </w:tbl>
    <w:p>
      <w:pPr>
        <w:spacing w:after="0" w:before="80"/>
      </w:pP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20" w:before="40"/>
              <w:jc w:val="center"/>
            </w:pPr>
            <w:r>
              <w:rPr>
                <w:rFonts w:ascii="Arial" w:cs="Arial" w:eastAsia="Arial" w:hAnsi="Arial"/>
                <w:b/>
                <w:bCs/>
                <w:color w:val="1F3864"/>
                <w:sz w:val="24"/>
                <w:szCs w:val="24"/>
              </w:rPr>
              <w:t xml:space="preserve">THE ONE SENTENCE THAT CONTAINS EVERYTHING</w:t>
            </w:r>
          </w:p>
          <w:p>
            <w:pPr>
              <w:spacing w:after="40" w:before="0"/>
              <w:jc w:val="center"/>
            </w:pPr>
            <w:r>
              <w:rPr>
                <w:rFonts w:ascii="Arial" w:cs="Arial" w:eastAsia="Arial" w:hAnsi="Arial"/>
                <w:b/>
                <w:bCs/>
                <w:i/>
                <w:iCs/>
                <w:color w:val="1F3864"/>
                <w:sz w:val="22"/>
                <w:szCs w:val="22"/>
              </w:rPr>
              <w:t xml:space="preserve">Estonia built the infrastructure of trust. Singapore built the infrastructure of efficiency. China built the infrastructure of scale — at the cost of human oversight. Legal-TechAI’s job is to build the infrastructure of truth: the verification layer that Indian criminal justice has never had, inside a democratic system that none of these three models fully represents.</w:t>
            </w:r>
          </w:p>
        </w:tc>
      </w:tr>
    </w:tbl>
    <w:p>
      <w:pPr>
        <w:spacing w:after="0" w:before="80"/>
      </w:pPr>
    </w:p>
    <w:p>
      <w:pPr>
        <w:pStyle w:val="Heading1"/>
      </w:pPr>
      <w:r>
        <w:rPr>
          <w:rFonts w:ascii="Arial" w:cs="Arial" w:eastAsia="Arial" w:hAnsi="Arial"/>
          <w:b/>
          <w:bCs/>
          <w:color w:val="1F3864"/>
          <w:sz w:val="32"/>
          <w:szCs w:val="32"/>
        </w:rPr>
        <w:t xml:space="preserve">SOURCES AND CITATIONS</w:t>
      </w:r>
    </w:p>
    <w:p>
      <w:pPr>
        <w:pStyle w:val="ListParagraph"/>
        <w:numPr>
          <w:ilvl w:val="0"/>
          <w:numId w:val="3"/>
        </w:numPr>
        <w:spacing w:after="60" w:before="60"/>
      </w:pPr>
      <w:r>
        <w:rPr>
          <w:rFonts w:ascii="Arial" w:cs="Arial" w:eastAsia="Arial" w:hAnsi="Arial"/>
          <w:sz w:val="22"/>
          <w:szCs w:val="22"/>
        </w:rPr>
        <w:t xml:space="preserve">E-Estonia (x-road, digital signatures, GDP savings): e-estonia.com/solutions; Harvard Belfer Center; OECD Digital Government Index 2023</w:t>
      </w:r>
    </w:p>
    <w:p>
      <w:pPr>
        <w:pStyle w:val="ListParagraph"/>
        <w:numPr>
          <w:ilvl w:val="0"/>
          <w:numId w:val="3"/>
        </w:numPr>
        <w:spacing w:after="60" w:before="60"/>
      </w:pPr>
      <w:r>
        <w:rPr>
          <w:rFonts w:ascii="Arial" w:cs="Arial" w:eastAsia="Arial" w:hAnsi="Arial"/>
          <w:sz w:val="22"/>
          <w:szCs w:val="22"/>
        </w:rPr>
        <w:t xml:space="preserve">Estonia KSI blockchain: academic.oup.com ‘Blockchain-based application at a governmental level’; Guardtime.com KSI whitepaper</w:t>
      </w:r>
    </w:p>
    <w:p>
      <w:pPr>
        <w:pStyle w:val="ListParagraph"/>
        <w:numPr>
          <w:ilvl w:val="0"/>
          <w:numId w:val="3"/>
        </w:numPr>
        <w:spacing w:after="60" w:before="60"/>
      </w:pPr>
      <w:r>
        <w:rPr>
          <w:rFonts w:ascii="Arial" w:cs="Arial" w:eastAsia="Arial" w:hAnsi="Arial"/>
          <w:sz w:val="22"/>
          <w:szCs w:val="22"/>
        </w:rPr>
        <w:t xml:space="preserve">Estonia cyber attacks (2007): NATO CCD COE annual reports; CGTN; multiple academic papers on ‘Web War I’</w:t>
      </w:r>
    </w:p>
    <w:p>
      <w:pPr>
        <w:pStyle w:val="ListParagraph"/>
        <w:numPr>
          <w:ilvl w:val="0"/>
          <w:numId w:val="3"/>
        </w:numPr>
        <w:spacing w:after="60" w:before="60"/>
      </w:pPr>
      <w:r>
        <w:rPr>
          <w:rFonts w:ascii="Arial" w:cs="Arial" w:eastAsia="Arial" w:hAnsi="Arial"/>
          <w:sz w:val="22"/>
          <w:szCs w:val="22"/>
        </w:rPr>
        <w:t xml:space="preserve">Singapore SingPass/MyInfo: World Bank ‘National Digital Identity and Government Data Sharing in Singapore’; Singapore MDDI factsheet March 2022</w:t>
      </w:r>
    </w:p>
    <w:p>
      <w:pPr>
        <w:pStyle w:val="ListParagraph"/>
        <w:numPr>
          <w:ilvl w:val="0"/>
          <w:numId w:val="3"/>
        </w:numPr>
        <w:spacing w:after="60" w:before="60"/>
      </w:pPr>
      <w:r>
        <w:rPr>
          <w:rFonts w:ascii="Arial" w:cs="Arial" w:eastAsia="Arial" w:hAnsi="Arial"/>
          <w:sz w:val="22"/>
          <w:szCs w:val="22"/>
        </w:rPr>
        <w:t xml:space="preserve">Singapore eLitigation/SAL: judiciary.gov.sg; SAL Legal Technology Vision (March 2025); globallegalinsights.com Singapore AI in courts</w:t>
      </w:r>
    </w:p>
    <w:p>
      <w:pPr>
        <w:pStyle w:val="ListParagraph"/>
        <w:numPr>
          <w:ilvl w:val="0"/>
          <w:numId w:val="3"/>
        </w:numPr>
        <w:spacing w:after="60" w:before="60"/>
      </w:pPr>
      <w:r>
        <w:rPr>
          <w:rFonts w:ascii="Arial" w:cs="Arial" w:eastAsia="Arial" w:hAnsi="Arial"/>
          <w:sz w:val="22"/>
          <w:szCs w:val="22"/>
        </w:rPr>
        <w:t xml:space="preserve">Singapore Harvey AI / MinLaw: press releases; TechLaw.Fest 2024 proceedings</w:t>
      </w:r>
    </w:p>
    <w:p>
      <w:pPr>
        <w:pStyle w:val="ListParagraph"/>
        <w:numPr>
          <w:ilvl w:val="0"/>
          <w:numId w:val="3"/>
        </w:numPr>
        <w:spacing w:after="60" w:before="60"/>
      </w:pPr>
      <w:r>
        <w:rPr>
          <w:rFonts w:ascii="Arial" w:cs="Arial" w:eastAsia="Arial" w:hAnsi="Arial"/>
          <w:sz w:val="22"/>
          <w:szCs w:val="22"/>
        </w:rPr>
        <w:t xml:space="preserve">China Internet Courts: CGTN November 2025; Cambridge Core ‘China’s Grand Design of People’s Smart Courts’; IJCA ‘The Smart Court’</w:t>
      </w:r>
    </w:p>
    <w:p>
      <w:pPr>
        <w:pStyle w:val="ListParagraph"/>
        <w:numPr>
          <w:ilvl w:val="0"/>
          <w:numId w:val="3"/>
        </w:numPr>
        <w:spacing w:after="60" w:before="60"/>
      </w:pPr>
      <w:r>
        <w:rPr>
          <w:rFonts w:ascii="Arial" w:cs="Arial" w:eastAsia="Arial" w:hAnsi="Arial"/>
          <w:sz w:val="22"/>
          <w:szCs w:val="22"/>
        </w:rPr>
        <w:t xml:space="preserve">China Judgments Online (8.1M 2024 stat): english.court.gov.cn January 2025; chinajusticeobserver.com; NYU Shanghai Library</w:t>
      </w:r>
    </w:p>
    <w:p>
      <w:pPr>
        <w:pStyle w:val="ListParagraph"/>
        <w:numPr>
          <w:ilvl w:val="0"/>
          <w:numId w:val="3"/>
        </w:numPr>
        <w:spacing w:after="60" w:before="60"/>
      </w:pPr>
      <w:r>
        <w:rPr>
          <w:rFonts w:ascii="Arial" w:cs="Arial" w:eastAsia="Arial" w:hAnsi="Arial"/>
          <w:sz w:val="22"/>
          <w:szCs w:val="22"/>
        </w:rPr>
        <w:t xml:space="preserve">China AI risks: Oxford Institute for Technology and Justice 2025; Columbia Law ‘Automating Fairness?’; CEPA ‘AI Kill Switch’</w:t>
      </w:r>
    </w:p>
    <w:p>
      <w:pPr>
        <w:pStyle w:val="ListParagraph"/>
        <w:numPr>
          <w:ilvl w:val="0"/>
          <w:numId w:val="3"/>
        </w:numPr>
        <w:spacing w:after="60" w:before="60"/>
      </w:pPr>
      <w:r>
        <w:rPr>
          <w:rFonts w:ascii="Arial" w:cs="Arial" w:eastAsia="Arial" w:hAnsi="Arial"/>
          <w:sz w:val="22"/>
          <w:szCs w:val="22"/>
        </w:rPr>
        <w:t xml:space="preserve">India SC AI Regulations 2026: theleaflet.in; sansalegal.com; SC of India notice dated 03.06.2026</w:t>
      </w:r>
    </w:p>
    <w:p>
      <w:pPr>
        <w:pStyle w:val="ListParagraph"/>
        <w:numPr>
          <w:ilvl w:val="0"/>
          <w:numId w:val="3"/>
        </w:numPr>
        <w:spacing w:after="60" w:before="60"/>
      </w:pPr>
      <w:r>
        <w:rPr>
          <w:rFonts w:ascii="Arial" w:cs="Arial" w:eastAsia="Arial" w:hAnsi="Arial"/>
          <w:sz w:val="22"/>
          <w:szCs w:val="22"/>
        </w:rPr>
        <w:t xml:space="preserve">India eCourts: vidhilegalpolicy.in; business-standard.com Budget 2026-27; DOJ Phase III page doj.gov.in</w:t>
      </w:r>
    </w:p>
    <w:p>
      <w:pPr>
        <w:pStyle w:val="ListParagraph"/>
        <w:numPr>
          <w:ilvl w:val="0"/>
          <w:numId w:val="3"/>
        </w:numPr>
        <w:spacing w:after="60" w:before="60"/>
      </w:pPr>
      <w:r>
        <w:rPr>
          <w:rFonts w:ascii="Arial" w:cs="Arial" w:eastAsia="Arial" w:hAnsi="Arial"/>
          <w:sz w:val="22"/>
          <w:szCs w:val="22"/>
        </w:rPr>
        <w:t xml:space="preserve">India justice data: India Justice Report 2025; NJDG njdg.ecourts.gov.in (March 2026 pendency figures)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Legal-TechAI Internal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color w:val="888888"/>
        <w:sz w:val="18"/>
        <w:szCs w:val="18"/>
      </w:rPr>
      <w:t xml:space="preserve">BUILDING ON GIANTS  |  Legal-TechAI Strategy  |  July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6"/>
      </w:pBd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2026-07-02T15:54:48.924Z</dcterms:created>
  <dcterms:modified xsi:type="dcterms:W3CDTF">2026-07-02T15:54:48.924Z</dcterms:modified>
</cp:coreProperties>
</file>

<file path=docProps/custom.xml><?xml version="1.0" encoding="utf-8"?>
<Properties xmlns="http://schemas.openxmlformats.org/officeDocument/2006/custom-properties" xmlns:vt="http://schemas.openxmlformats.org/officeDocument/2006/docPropsVTypes"/>
</file>