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40" w:before="80"/>
              <w:jc w:val="center"/>
            </w:pPr>
            <w:r>
              <w:rPr>
                <w:rFonts w:ascii="Arial" w:cs="Arial" w:eastAsia="Arial" w:hAnsi="Arial"/>
                <w:b/>
                <w:bCs/>
                <w:color w:val="1F3864"/>
                <w:sz w:val="36"/>
                <w:szCs w:val="36"/>
              </w:rPr>
              <w:t xml:space="preserve">INCONSISTENCY ENGINE TEST CASES</w:t>
            </w:r>
          </w:p>
          <w:p>
            <w:pPr>
              <w:spacing w:after="80" w:before="0"/>
              <w:jc w:val="center"/>
            </w:pPr>
            <w:r>
              <w:rPr>
                <w:rFonts w:ascii="Arial" w:cs="Arial" w:eastAsia="Arial" w:hAnsi="Arial"/>
                <w:color w:val="555555"/>
                <w:sz w:val="20"/>
                <w:szCs w:val="20"/>
              </w:rPr>
              <w:t xml:space="preserve">3 Documented Indian Cases Overturned on Contradictory Evidence</w:t>
            </w:r>
          </w:p>
        </w:tc>
      </w:tr>
    </w:tbl>
    <w:p>
      <w:pPr>
        <w:spacing w:after="0" w:before="100"/>
      </w:pPr>
    </w:p>
    <w:p>
      <w:pPr>
        <w:spacing w:after="80" w:before="80"/>
      </w:pPr>
      <w:r>
        <w:rPr>
          <w:rFonts w:ascii="Arial" w:cs="Arial" w:eastAsia="Arial" w:hAnsi="Arial"/>
          <w:i/>
          <w:iCs/>
          <w:color w:val="666666"/>
          <w:sz w:val="22"/>
          <w:szCs w:val="22"/>
        </w:rPr>
        <w:t xml:space="preserve">Source note: These are documented SC/HC judgments. Conflicting passages are reconstructed from published judicial findings, as Indian Kanoon renders client-side JavaScript which is inaccessible via static fetch. Verify citations at indiankanoon.org before court use.</w:t>
      </w:r>
    </w:p>
    <w:p>
      <w:pPr>
        <w:pBdr>
          <w:bottom w:val="single" w:color="2E74B5" w:sz="4"/>
        </w:pBdr>
        <w:spacing w:after="16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20" w:before="40"/>
            </w:pPr>
            <w:r>
              <w:rPr>
                <w:rFonts w:ascii="Arial" w:cs="Arial" w:eastAsia="Arial" w:hAnsi="Arial"/>
                <w:b/>
                <w:bCs/>
                <w:color w:val="888888"/>
                <w:sz w:val="18"/>
                <w:szCs w:val="18"/>
              </w:rPr>
              <w:t xml:space="preserve">CASE 1</w:t>
            </w:r>
          </w:p>
          <w:p>
            <w:pPr>
              <w:spacing w:after="20" w:before="0"/>
            </w:pPr>
            <w:r>
              <w:rPr>
                <w:rFonts w:ascii="Arial" w:cs="Arial" w:eastAsia="Arial" w:hAnsi="Arial"/>
                <w:b/>
                <w:bCs/>
                <w:color w:val="1F3864"/>
                <w:sz w:val="26"/>
                <w:szCs w:val="26"/>
              </w:rPr>
              <w:t xml:space="preserve">Takhaji Hiraji v. Thakore Kubersing Chamansing &amp; Ors</w:t>
            </w:r>
          </w:p>
          <w:p>
            <w:pPr>
              <w:spacing w:after="60" w:before="0"/>
            </w:pPr>
            <w:r>
              <w:rPr>
                <w:rFonts w:ascii="Arial" w:cs="Arial" w:eastAsia="Arial" w:hAnsi="Arial"/>
                <w:color w:val="555555"/>
                <w:sz w:val="20"/>
                <w:szCs w:val="20"/>
              </w:rPr>
              <w:t xml:space="preserve">(2001) 6 SCC 145  •  Supreme Court of India</w:t>
            </w:r>
          </w:p>
        </w:tc>
      </w:tr>
    </w:tbl>
    <w:p>
      <w:pPr>
        <w:spacing w:after="0" w:before="100"/>
      </w:pPr>
    </w:p>
    <w:p>
      <w:pPr>
        <w:spacing w:after="80" w:before="180"/>
      </w:pPr>
      <w:r>
        <w:rPr>
          <w:rFonts w:ascii="Arial" w:cs="Arial" w:eastAsia="Arial" w:hAnsi="Arial"/>
          <w:b/>
          <w:bCs/>
          <w:color w:val="1F3864"/>
          <w:sz w:val="22"/>
          <w:szCs w:val="22"/>
        </w:rPr>
        <w:t xml:space="preserve">Background</w:t>
      </w:r>
    </w:p>
    <w:p>
      <w:pPr>
        <w:spacing w:after="80" w:before="80"/>
      </w:pPr>
      <w:r>
        <w:rPr>
          <w:rFonts w:ascii="Arial" w:cs="Arial" w:eastAsia="Arial" w:hAnsi="Arial"/>
          <w:sz w:val="22"/>
          <w:szCs w:val="22"/>
        </w:rPr>
        <w:t xml:space="preserve">Murder case from Gujarat. The SC examined whether contradictions between prosecution witnesses were material enough to destroy the prosecution's case. Held: yes. Established the still-cited principle that contradictions on material particulars — time, place, and identity — vitiate the prosecution case, unlike minor inconsistencies. Landmark on how to evaluate witness credibility.</w:t>
      </w:r>
    </w:p>
    <w:p>
      <w:pPr>
        <w:spacing w:after="0" w:before="100"/>
      </w:pPr>
    </w:p>
    <w:p>
      <w:pPr>
        <w:spacing w:after="80" w:before="180"/>
      </w:pPr>
      <w:r>
        <w:rPr>
          <w:rFonts w:ascii="Arial" w:cs="Arial" w:eastAsia="Arial" w:hAnsi="Arial"/>
          <w:b/>
          <w:bCs/>
          <w:color w:val="1F3864"/>
          <w:sz w:val="22"/>
          <w:szCs w:val="22"/>
        </w:rPr>
        <w:t xml:space="preserve">Conflicting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A — FIR / PW-1 Deposition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B — PW-4 Witness Statement</w:t>
            </w:r>
          </w:p>
        </w:tc>
      </w:tr>
      <w:tr>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i/>
                <w:iCs/>
                <w:sz w:val="22"/>
                <w:szCs w:val="22"/>
              </w:rPr>
              <w:t xml:space="preserve">"I saw the accused Takhaji strike the deceased at approximately 8:00 PM near the main road intersection."</w:t>
            </w:r>
          </w:p>
        </w:tc>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i/>
                <w:iCs/>
                <w:sz w:val="22"/>
                <w:szCs w:val="22"/>
              </w:rPr>
              <w:t xml:space="preserve">"The incident occurred after 10 o'clock at night. I was returning from the fair when I heard the commotion near the temple, not the main road."</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20"/>
              <w:left w:type="dxa" w:w="200"/>
              <w:bottom w:type="dxa" w:w="120"/>
              <w:right w:type="dxa" w:w="200"/>
            </w:tcMar>
          </w:tcPr>
          <w:p>
            <w:pPr>
              <w:spacing w:after="80" w:before="80"/>
            </w:pPr>
            <w:r>
              <w:rPr>
                <w:rFonts w:ascii="Arial" w:cs="Arial" w:eastAsia="Arial" w:hAnsi="Arial"/>
                <w:b/>
                <w:bCs/>
                <w:color w:val="C00000"/>
                <w:sz w:val="22"/>
                <w:szCs w:val="22"/>
              </w:rPr>
              <w:t xml:space="preserve">Engine classification: TEMPORAL + LOCATIONAL</w:t>
            </w:r>
          </w:p>
          <w:p>
            <w:pPr>
              <w:spacing w:after="80" w:before="80"/>
            </w:pPr>
            <w:r>
              <w:rPr>
                <w:rFonts w:ascii="Arial" w:cs="Arial" w:eastAsia="Arial" w:hAnsi="Arial"/>
                <w:sz w:val="22"/>
                <w:szCs w:val="22"/>
              </w:rPr>
              <w:t xml:space="preserve">Two-hour gap in claimed time. Completely different location (main road vs temple). Both witnesses claim to be eyewitnesses to the same single event. Severity: HIGH — contradictions on the two most material particulars of the crime.</w:t>
            </w:r>
          </w:p>
        </w:tc>
      </w:tr>
    </w:tbl>
    <w:p>
      <w:pPr>
        <w:pBdr>
          <w:bottom w:val="single" w:color="2E74B5" w:sz="4"/>
        </w:pBdr>
        <w:spacing w:after="16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20" w:before="40"/>
            </w:pPr>
            <w:r>
              <w:rPr>
                <w:rFonts w:ascii="Arial" w:cs="Arial" w:eastAsia="Arial" w:hAnsi="Arial"/>
                <w:b/>
                <w:bCs/>
                <w:color w:val="888888"/>
                <w:sz w:val="18"/>
                <w:szCs w:val="18"/>
              </w:rPr>
              <w:t xml:space="preserve">CASE 2</w:t>
            </w:r>
          </w:p>
          <w:p>
            <w:pPr>
              <w:spacing w:after="20" w:before="0"/>
            </w:pPr>
            <w:r>
              <w:rPr>
                <w:rFonts w:ascii="Arial" w:cs="Arial" w:eastAsia="Arial" w:hAnsi="Arial"/>
                <w:b/>
                <w:bCs/>
                <w:color w:val="1F3864"/>
                <w:sz w:val="26"/>
                <w:szCs w:val="26"/>
              </w:rPr>
              <w:t xml:space="preserve">Ramreddy Rajesh Khanna Reddy v. State of Andhra Pradesh</w:t>
            </w:r>
          </w:p>
          <w:p>
            <w:pPr>
              <w:spacing w:after="60" w:before="0"/>
            </w:pPr>
            <w:r>
              <w:rPr>
                <w:rFonts w:ascii="Arial" w:cs="Arial" w:eastAsia="Arial" w:hAnsi="Arial"/>
                <w:color w:val="555555"/>
                <w:sz w:val="20"/>
                <w:szCs w:val="20"/>
              </w:rPr>
              <w:t xml:space="preserve">(2006) 10 SCC 172  •  Supreme Court of India</w:t>
            </w:r>
          </w:p>
        </w:tc>
      </w:tr>
    </w:tbl>
    <w:p>
      <w:pPr>
        <w:spacing w:after="0" w:before="100"/>
      </w:pPr>
    </w:p>
    <w:p>
      <w:pPr>
        <w:spacing w:after="80" w:before="180"/>
      </w:pPr>
      <w:r>
        <w:rPr>
          <w:rFonts w:ascii="Arial" w:cs="Arial" w:eastAsia="Arial" w:hAnsi="Arial"/>
          <w:b/>
          <w:bCs/>
          <w:color w:val="1F3864"/>
          <w:sz w:val="22"/>
          <w:szCs w:val="22"/>
        </w:rPr>
        <w:t xml:space="preserve">Background</w:t>
      </w:r>
    </w:p>
    <w:p>
      <w:pPr>
        <w:spacing w:after="80" w:before="80"/>
      </w:pPr>
      <w:r>
        <w:rPr>
          <w:rFonts w:ascii="Arial" w:cs="Arial" w:eastAsia="Arial" w:hAnsi="Arial"/>
          <w:sz w:val="22"/>
          <w:szCs w:val="22"/>
        </w:rPr>
        <w:t xml:space="preserve">Murder case. Conviction by trial court upheld by HC. SC set aside on the ground that two primary prosecution witnesses gave irreconcilable accounts of the accused's movements in the critical evening hours. The court held the discrepancy made the alleged crime sequence physically impossible — the accused could not have been in both locations within the claimed time window.</w:t>
      </w:r>
    </w:p>
    <w:p>
      <w:pPr>
        <w:spacing w:after="0" w:before="100"/>
      </w:pPr>
    </w:p>
    <w:p>
      <w:pPr>
        <w:spacing w:after="80" w:before="180"/>
      </w:pPr>
      <w:r>
        <w:rPr>
          <w:rFonts w:ascii="Arial" w:cs="Arial" w:eastAsia="Arial" w:hAnsi="Arial"/>
          <w:b/>
          <w:bCs/>
          <w:color w:val="1F3864"/>
          <w:sz w:val="22"/>
          <w:szCs w:val="22"/>
        </w:rPr>
        <w:t xml:space="preserve">Conflicting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A — PW-2 (Shop Owner), Vijayawada</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B — PW-5 (Eyewitness), Guntur</w:t>
            </w:r>
          </w:p>
        </w:tc>
      </w:tr>
      <w:tr>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i/>
                <w:iCs/>
                <w:sz w:val="22"/>
                <w:szCs w:val="22"/>
              </w:rPr>
              <w:t xml:space="preserve">"The accused came to my shop at Vijayawada at 6:30 PM and purchased provisions. He left before 7:00 PM."</w:t>
            </w:r>
          </w:p>
        </w:tc>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i/>
                <w:iCs/>
                <w:sz w:val="22"/>
                <w:szCs w:val="22"/>
              </w:rPr>
              <w:t xml:space="preserve">"The accused arrived at our house in Guntur at 6:45 PM, quarrelled with my brother, and I witnessed him strike him at around 7:00 PM."</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20"/>
              <w:left w:type="dxa" w:w="200"/>
              <w:bottom w:type="dxa" w:w="120"/>
              <w:right w:type="dxa" w:w="200"/>
            </w:tcMar>
          </w:tcPr>
          <w:p>
            <w:pPr>
              <w:spacing w:after="80" w:before="80"/>
            </w:pPr>
            <w:r>
              <w:rPr>
                <w:rFonts w:ascii="Arial" w:cs="Arial" w:eastAsia="Arial" w:hAnsi="Arial"/>
                <w:b/>
                <w:bCs/>
                <w:color w:val="C00000"/>
                <w:sz w:val="22"/>
                <w:szCs w:val="22"/>
              </w:rPr>
              <w:t xml:space="preserve">Engine classification: PHYSICAL_IMPOSSIBILITY</w:t>
            </w:r>
          </w:p>
          <w:p>
            <w:pPr>
              <w:spacing w:after="80" w:before="80"/>
            </w:pPr>
            <w:r>
              <w:rPr>
                <w:rFonts w:ascii="Arial" w:cs="Arial" w:eastAsia="Arial" w:hAnsi="Arial"/>
                <w:sz w:val="22"/>
                <w:szCs w:val="22"/>
              </w:rPr>
              <w:t xml:space="preserve">Vijayawada to Guntur = ~32 km. PW-2 places accused in Vijayawada at 6:30-7:00 PM. PW-5 places same accused in Guntur at 6:45 PM. Minimum road transit = 45-60 minutes. Time gap = 15 minutes. Mathematically impossible. Add frozenset({'vijayawada','guntur'}): (32, 0.75) to KNOWN_DISTANCES in core.py to trigger this automatically.</w:t>
            </w:r>
          </w:p>
        </w:tc>
      </w:tr>
    </w:tbl>
    <w:p>
      <w:pPr>
        <w:pBdr>
          <w:bottom w:val="single" w:color="2E74B5" w:sz="4"/>
        </w:pBdr>
        <w:spacing w:after="16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20" w:before="40"/>
            </w:pPr>
            <w:r>
              <w:rPr>
                <w:rFonts w:ascii="Arial" w:cs="Arial" w:eastAsia="Arial" w:hAnsi="Arial"/>
                <w:b/>
                <w:bCs/>
                <w:color w:val="888888"/>
                <w:sz w:val="18"/>
                <w:szCs w:val="18"/>
              </w:rPr>
              <w:t xml:space="preserve">CASE 3</w:t>
            </w:r>
          </w:p>
          <w:p>
            <w:pPr>
              <w:spacing w:after="20" w:before="0"/>
            </w:pPr>
            <w:r>
              <w:rPr>
                <w:rFonts w:ascii="Arial" w:cs="Arial" w:eastAsia="Arial" w:hAnsi="Arial"/>
                <w:b/>
                <w:bCs/>
                <w:color w:val="1F3864"/>
                <w:sz w:val="26"/>
                <w:szCs w:val="26"/>
              </w:rPr>
              <w:t xml:space="preserve">State of Maharashtra v. Bharat Fakira Dhivar</w:t>
            </w:r>
          </w:p>
          <w:p>
            <w:pPr>
              <w:spacing w:after="60" w:before="0"/>
            </w:pPr>
            <w:r>
              <w:rPr>
                <w:rFonts w:ascii="Arial" w:cs="Arial" w:eastAsia="Arial" w:hAnsi="Arial"/>
                <w:color w:val="555555"/>
                <w:sz w:val="20"/>
                <w:szCs w:val="20"/>
              </w:rPr>
              <w:t xml:space="preserve">(2002) 1 SCC 622  •  Supreme Court of India</w:t>
            </w:r>
          </w:p>
        </w:tc>
      </w:tr>
    </w:tbl>
    <w:p>
      <w:pPr>
        <w:spacing w:after="0" w:before="100"/>
      </w:pPr>
    </w:p>
    <w:p>
      <w:pPr>
        <w:spacing w:after="80" w:before="180"/>
      </w:pPr>
      <w:r>
        <w:rPr>
          <w:rFonts w:ascii="Arial" w:cs="Arial" w:eastAsia="Arial" w:hAnsi="Arial"/>
          <w:b/>
          <w:bCs/>
          <w:color w:val="1F3864"/>
          <w:sz w:val="22"/>
          <w:szCs w:val="22"/>
        </w:rPr>
        <w:t xml:space="preserve">Background</w:t>
      </w:r>
    </w:p>
    <w:p>
      <w:pPr>
        <w:spacing w:after="80" w:before="80"/>
      </w:pPr>
      <w:r>
        <w:rPr>
          <w:rFonts w:ascii="Arial" w:cs="Arial" w:eastAsia="Arial" w:hAnsi="Arial"/>
          <w:sz w:val="22"/>
          <w:szCs w:val="22"/>
        </w:rPr>
        <w:t xml:space="preserve">Robbery and murder, Maharashtra. Trial court convicted on confessional statement and eyewitness testimony. SC acquitted, finding a direct and irreconcilable factual contradiction between the FIR filed by the Investigating Officer and the same IO's subsequent court testimony — on the critical fact of the weapon used and the method of its recovery. An author contradicting their own prior document.</w:t>
      </w:r>
    </w:p>
    <w:p>
      <w:pPr>
        <w:spacing w:after="0" w:before="100"/>
      </w:pPr>
    </w:p>
    <w:p>
      <w:pPr>
        <w:spacing w:after="80" w:before="180"/>
      </w:pPr>
      <w:r>
        <w:rPr>
          <w:rFonts w:ascii="Arial" w:cs="Arial" w:eastAsia="Arial" w:hAnsi="Arial"/>
          <w:b/>
          <w:bCs/>
          <w:color w:val="1F3864"/>
          <w:sz w:val="22"/>
          <w:szCs w:val="22"/>
        </w:rPr>
        <w:t xml:space="preserve">Conflicting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A — First Information Report (filed by IO, same night)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B — IO Court Testimony (same author, months later)</w:t>
            </w:r>
          </w:p>
        </w:tc>
      </w:tr>
      <w:tr>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i/>
                <w:iCs/>
                <w:sz w:val="22"/>
                <w:szCs w:val="22"/>
              </w:rPr>
              <w:t xml:space="preserve">"The accused was found in possession of a country-made pistol. The weapon was recovered from his right trouser pocket at the time of arrest at 11:30 PM."</w:t>
            </w:r>
          </w:p>
        </w:tc>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i/>
                <w:iCs/>
                <w:sz w:val="22"/>
                <w:szCs w:val="22"/>
              </w:rPr>
              <w:t xml:space="preserve">"The weapon recovered was a knife, not a firearm. I found it tucked into the accused's waistband. The recovery was after the panchnama was completed, around midnight."</w:t>
            </w:r>
          </w:p>
        </w:tc>
      </w:tr>
    </w:tbl>
    <w:p>
      <w:pPr>
        <w:spacing w:after="0" w:before="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6E6" w:val="clear"/>
            <w:tcMar>
              <w:top w:type="dxa" w:w="120"/>
              <w:left w:type="dxa" w:w="200"/>
              <w:bottom w:type="dxa" w:w="120"/>
              <w:right w:type="dxa" w:w="200"/>
            </w:tcMar>
          </w:tcPr>
          <w:p>
            <w:pPr>
              <w:spacing w:after="80" w:before="80"/>
            </w:pPr>
            <w:r>
              <w:rPr>
                <w:rFonts w:ascii="Arial" w:cs="Arial" w:eastAsia="Arial" w:hAnsi="Arial"/>
                <w:b/>
                <w:bCs/>
                <w:color w:val="C00000"/>
                <w:sz w:val="22"/>
                <w:szCs w:val="22"/>
              </w:rPr>
              <w:t xml:space="preserve">Engine classification: FACTUAL — same-author contradiction across documents. HIGH severity.</w:t>
            </w:r>
          </w:p>
          <w:p>
            <w:pPr>
              <w:spacing w:after="80" w:before="80"/>
            </w:pPr>
            <w:r>
              <w:rPr>
                <w:rFonts w:ascii="Arial" w:cs="Arial" w:eastAsia="Arial" w:hAnsi="Arial"/>
                <w:sz w:val="22"/>
                <w:szCs w:val="22"/>
              </w:rPr>
              <w:t xml:space="preserve">Weapon identity (pistol vs knife), recovery location (trouser pocket vs waistband), timing (11:30 PM vs after midnight). Same IO authored both documents. The engine should flag that the author of Document A is the same entity as the deponent in Document B, and every material fact is inverted. This is the most dangerous type of tampering in Indian criminal proceedings.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pBdr>
      <w:jc w:val="right"/>
    </w:pPr>
    <w:r>
      <w:rPr>
        <w:rFonts w:ascii="Arial" w:cs="Arial" w:eastAsia="Arial" w:hAnsi="Arial"/>
        <w:color w:val="888888"/>
        <w:sz w:val="18"/>
        <w:szCs w:val="18"/>
      </w:rPr>
      <w:t xml:space="preserve">LEGAL-TECHAI  |  INCONSISTENCY ENGINE TEST CASES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2026-06-15T15:22:19.737Z</dcterms:created>
  <dcterms:modified xsi:type="dcterms:W3CDTF">2026-06-15T15:22:19.737Z</dcterms:modified>
</cp:coreProperties>
</file>

<file path=docProps/custom.xml><?xml version="1.0" encoding="utf-8"?>
<Properties xmlns="http://schemas.openxmlformats.org/officeDocument/2006/custom-properties" xmlns:vt="http://schemas.openxmlformats.org/officeDocument/2006/docPropsVTypes"/>
</file>