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20" w:before="60"/>
              <w:jc w:val="center"/>
            </w:pPr>
            <w:r>
              <w:rPr>
                <w:rFonts w:ascii="Arial" w:cs="Arial" w:eastAsia="Arial" w:hAnsi="Arial"/>
                <w:b/>
                <w:bCs/>
                <w:color w:val="888888"/>
                <w:sz w:val="20"/>
                <w:szCs w:val="20"/>
              </w:rPr>
              <w:t xml:space="preserve">MEETING PREP</w:t>
            </w:r>
          </w:p>
          <w:p>
            <w:pPr>
              <w:spacing w:after="20" w:before="0"/>
              <w:jc w:val="center"/>
            </w:pPr>
            <w:r>
              <w:rPr>
                <w:rFonts w:ascii="Arial" w:cs="Arial" w:eastAsia="Arial" w:hAnsi="Arial"/>
                <w:b/>
                <w:bCs/>
                <w:color w:val="1F3864"/>
                <w:sz w:val="40"/>
                <w:szCs w:val="40"/>
              </w:rPr>
              <w:t xml:space="preserve">Sachin Malhan — Agami</w:t>
            </w:r>
          </w:p>
          <w:p>
            <w:pPr>
              <w:spacing w:after="60" w:before="0"/>
              <w:jc w:val="center"/>
            </w:pPr>
            <w:r>
              <w:rPr>
                <w:rFonts w:ascii="Arial" w:cs="Arial" w:eastAsia="Arial" w:hAnsi="Arial"/>
                <w:i/>
                <w:iCs/>
                <w:color w:val="555555"/>
                <w:sz w:val="20"/>
                <w:szCs w:val="20"/>
              </w:rPr>
              <w:t xml:space="preserve">Legal-TechAI  •  Internal  •  16 June 2026</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F3864" w:val="clear"/>
            <w:tcMar>
              <w:top w:type="dxa" w:w="100"/>
              <w:left w:type="dxa" w:w="120"/>
              <w:bottom w:type="dxa" w:w="100"/>
              <w:right w:type="dxa" w:w="80"/>
            </w:tcMar>
          </w:tcPr>
          <w:p>
            <w:r>
              <w:rPr>
                <w:rFonts w:ascii="Arial" w:cs="Arial" w:eastAsia="Arial" w:hAnsi="Arial"/>
                <w:b/>
                <w:bCs/>
                <w:color w:val="FFFFFF"/>
                <w:sz w:val="18"/>
                <w:szCs w:val="18"/>
              </w:rPr>
              <w:t xml:space="preserve">OBJECTIVE</w:t>
            </w:r>
          </w:p>
          <w:p>
            <w:pPr>
              <w:spacing w:after="0" w:before="40"/>
            </w:pPr>
            <w:r>
              <w:rPr>
                <w:rFonts w:ascii="Arial" w:cs="Arial" w:eastAsia="Arial" w:hAnsi="Arial"/>
                <w:color w:val="FFFFFF"/>
                <w:sz w:val="19"/>
                <w:szCs w:val="19"/>
              </w:rPr>
              <w:t xml:space="preserve">Leave with a specific next step — not a vague 'let's stay in touch'</w:t>
            </w:r>
          </w:p>
        </w:tc>
        <w:tc>
          <w:tcPr>
            <w:tcW w:type="dxa" w:w="3120"/>
            <w:tcBorders>
              <w:top w:val="none" w:color="FFFFFF" w:sz="0"/>
              <w:left w:val="none" w:color="FFFFFF" w:sz="0"/>
              <w:bottom w:val="none" w:color="FFFFFF" w:sz="0"/>
              <w:right w:val="none" w:color="FFFFFF" w:sz="0"/>
            </w:tcBorders>
            <w:shd w:fill="2E74B5" w:val="clear"/>
            <w:tcMar>
              <w:top w:type="dxa" w:w="100"/>
              <w:left w:type="dxa" w:w="120"/>
              <w:bottom w:type="dxa" w:w="100"/>
              <w:right w:type="dxa" w:w="80"/>
            </w:tcMar>
          </w:tcPr>
          <w:p>
            <w:r>
              <w:rPr>
                <w:rFonts w:ascii="Arial" w:cs="Arial" w:eastAsia="Arial" w:hAnsi="Arial"/>
                <w:b/>
                <w:bCs/>
                <w:color w:val="FFFFFF"/>
                <w:sz w:val="18"/>
                <w:szCs w:val="18"/>
              </w:rPr>
              <w:t xml:space="preserve">POSTURE</w:t>
            </w:r>
          </w:p>
          <w:p>
            <w:pPr>
              <w:spacing w:after="0" w:before="40"/>
            </w:pPr>
            <w:r>
              <w:rPr>
                <w:rFonts w:ascii="Arial" w:cs="Arial" w:eastAsia="Arial" w:hAnsi="Arial"/>
                <w:color w:val="FFFFFF"/>
                <w:sz w:val="19"/>
                <w:szCs w:val="19"/>
              </w:rPr>
              <w:t xml:space="preserve">Curious student of his work — not a startup founder pitching</w:t>
            </w:r>
          </w:p>
        </w:tc>
        <w:tc>
          <w:tcPr>
            <w:tcW w:type="dxa" w:w="3120"/>
            <w:tcBorders>
              <w:top w:val="none" w:color="FFFFFF" w:sz="0"/>
              <w:left w:val="none" w:color="FFFFFF" w:sz="0"/>
              <w:bottom w:val="none" w:color="FFFFFF" w:sz="0"/>
              <w:right w:val="none" w:color="FFFFFF" w:sz="0"/>
            </w:tcBorders>
            <w:shd w:fill="375623" w:val="clear"/>
            <w:tcMar>
              <w:top w:type="dxa" w:w="100"/>
              <w:left w:type="dxa" w:w="120"/>
              <w:bottom w:type="dxa" w:w="100"/>
              <w:right w:type="dxa" w:w="80"/>
            </w:tcMar>
          </w:tcPr>
          <w:p>
            <w:r>
              <w:rPr>
                <w:rFonts w:ascii="Arial" w:cs="Arial" w:eastAsia="Arial" w:hAnsi="Arial"/>
                <w:b/>
                <w:bCs/>
                <w:color w:val="FFFFFF"/>
                <w:sz w:val="18"/>
                <w:szCs w:val="18"/>
              </w:rPr>
              <w:t xml:space="preserve">WHAT SUCCESS LOOKS LIKE</w:t>
            </w:r>
          </w:p>
          <w:p>
            <w:pPr>
              <w:spacing w:after="0" w:before="40"/>
            </w:pPr>
            <w:r>
              <w:rPr>
                <w:rFonts w:ascii="Arial" w:cs="Arial" w:eastAsia="Arial" w:hAnsi="Arial"/>
                <w:color w:val="FFFFFF"/>
                <w:sz w:val="19"/>
                <w:szCs w:val="19"/>
              </w:rPr>
              <w:t xml:space="preserve">Introduction to OpenNyAI team or Agami network intro to 2 potential partners</w:t>
            </w:r>
          </w:p>
        </w:tc>
      </w:tr>
    </w:tbl>
    <w:p>
      <w:pPr>
        <w:spacing w:after="0" w:before="80"/>
      </w:pPr>
    </w:p>
    <w:p>
      <w:pPr>
        <w:pStyle w:val="Heading1"/>
      </w:pPr>
      <w:r>
        <w:rPr>
          <w:rFonts w:ascii="Arial" w:cs="Arial" w:eastAsia="Arial" w:hAnsi="Arial"/>
          <w:b/>
          <w:bCs/>
          <w:color w:val="1F3864"/>
          <w:sz w:val="28"/>
          <w:szCs w:val="28"/>
        </w:rPr>
        <w:t xml:space="preserve">1 — WHO IS SACHIN MALHAN (WHAT ACTUALLY MATTERS)</w:t>
      </w:r>
    </w:p>
    <w:p>
      <w:pPr>
        <w:spacing w:after="80" w:before="80"/>
      </w:pPr>
      <w:r>
        <w:rPr>
          <w:rFonts w:ascii="Arial" w:cs="Arial" w:eastAsia="Arial" w:hAnsi="Arial"/>
          <w:sz w:val="22"/>
          <w:szCs w:val="22"/>
        </w:rPr>
        <w:t xml:space="preserve">Beyond the bio. Read this, not his LinkedIn.</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tcPr>
          <w:p>
            <w:pPr>
              <w:pStyle w:val="Heading3"/>
            </w:pPr>
            <w:r>
              <w:rPr>
                <w:rFonts w:ascii="Arial" w:cs="Arial" w:eastAsia="Arial" w:hAnsi="Arial"/>
                <w:b/>
                <w:bCs/>
                <w:color w:val="1F3864"/>
                <w:sz w:val="22"/>
                <w:szCs w:val="22"/>
              </w:rPr>
              <w:t xml:space="preserve">His pattern across 3 ventures:</w:t>
            </w:r>
          </w:p>
          <w:p>
            <w:pPr>
              <w:pStyle w:val="ListParagraph"/>
              <w:numPr>
                <w:ilvl w:val="0"/>
                <w:numId w:val="2"/>
              </w:numPr>
              <w:spacing w:after="60" w:before="60"/>
            </w:pPr>
            <w:r>
              <w:rPr>
                <w:rFonts w:ascii="Arial" w:cs="Arial" w:eastAsia="Arial" w:hAnsi="Arial"/>
                <w:sz w:val="22"/>
                <w:szCs w:val="22"/>
              </w:rPr>
              <w:t xml:space="preserve">LST: Systematized law school access → sold/scaled to national market</w:t>
            </w:r>
          </w:p>
          <w:p>
            <w:pPr>
              <w:pStyle w:val="ListParagraph"/>
              <w:numPr>
                <w:ilvl w:val="0"/>
                <w:numId w:val="2"/>
              </w:numPr>
              <w:spacing w:after="60" w:before="60"/>
            </w:pPr>
            <w:r>
              <w:rPr>
                <w:rFonts w:ascii="Arial" w:cs="Arial" w:eastAsia="Arial" w:hAnsi="Arial"/>
                <w:sz w:val="22"/>
                <w:szCs w:val="22"/>
              </w:rPr>
              <w:t xml:space="preserve">Rainmaker → Vahura: Built a lawyer training platform, spun off a recruitment business that became infrastructure. The platform was secondary; the infrastructure play was the value.</w:t>
            </w:r>
          </w:p>
          <w:p>
            <w:pPr>
              <w:pStyle w:val="ListParagraph"/>
              <w:numPr>
                <w:ilvl w:val="0"/>
                <w:numId w:val="2"/>
              </w:numPr>
              <w:spacing w:after="60" w:before="60"/>
            </w:pPr>
            <w:r>
              <w:rPr>
                <w:rFonts w:ascii="Arial" w:cs="Arial" w:eastAsia="Arial" w:hAnsi="Arial"/>
                <w:sz w:val="22"/>
                <w:szCs w:val="22"/>
              </w:rPr>
              <w:t xml:space="preserve">Inclusive Planet: Technology for the most excluded. Not for the market — for the margins.</w:t>
            </w:r>
          </w:p>
          <w:p>
            <w:pPr>
              <w:spacing w:after="0" w:before="80"/>
            </w:pPr>
          </w:p>
          <w:p>
            <w:pPr>
              <w:spacing w:after="80" w:before="80"/>
            </w:pPr>
            <w:r>
              <w:rPr>
                <w:rFonts w:ascii="Arial" w:cs="Arial" w:eastAsia="Arial" w:hAnsi="Arial"/>
                <w:b/>
                <w:bCs/>
                <w:color w:val="1F3864"/>
                <w:sz w:val="22"/>
                <w:szCs w:val="22"/>
              </w:rPr>
              <w:t xml:space="preserve">Thread: He builds things that become infrastructure others depend on. He is attracted to platform plays that create public goods.</w:t>
            </w:r>
          </w:p>
        </w:tc>
        <w:tc>
          <w:tcPr>
            <w:tcW w:type="dxa" w:w="4860"/>
            <w:tcBorders>
              <w:top w:val="none" w:color="FFFFFF" w:sz="0"/>
              <w:left w:val="none" w:color="FFFFFF" w:sz="0"/>
              <w:bottom w:val="none" w:color="FFFFFF" w:sz="0"/>
              <w:right w:val="none" w:color="FFFFFF" w:sz="0"/>
            </w:tcBorders>
            <w:tcMar>
              <w:top w:type="dxa" w:w="0"/>
              <w:left w:type="dxa" w:w="200"/>
              <w:bottom w:type="dxa" w:w="0"/>
              <w:right w:type="dxa" w:w="0"/>
            </w:tcMar>
          </w:tcPr>
          <w:p>
            <w:pPr>
              <w:pStyle w:val="Heading3"/>
            </w:pPr>
            <w:r>
              <w:rPr>
                <w:rFonts w:ascii="Arial" w:cs="Arial" w:eastAsia="Arial" w:hAnsi="Arial"/>
                <w:b/>
                <w:bCs/>
                <w:color w:val="1F3864"/>
                <w:sz w:val="22"/>
                <w:szCs w:val="22"/>
              </w:rPr>
              <w:t xml:space="preserve">What Agami actually is:</w:t>
            </w:r>
          </w:p>
          <w:p>
            <w:pPr>
              <w:pStyle w:val="ListParagraph"/>
              <w:numPr>
                <w:ilvl w:val="0"/>
                <w:numId w:val="2"/>
              </w:numPr>
              <w:spacing w:after="60" w:before="60"/>
            </w:pPr>
            <w:r>
              <w:rPr>
                <w:rFonts w:ascii="Arial" w:cs="Arial" w:eastAsia="Arial" w:hAnsi="Arial"/>
                <w:sz w:val="22"/>
                <w:szCs w:val="22"/>
              </w:rPr>
              <w:t xml:space="preserve">Not a grant-maker. Not an accelerator. An ecosystem architect.</w:t>
            </w:r>
          </w:p>
          <w:p>
            <w:pPr>
              <w:pStyle w:val="ListParagraph"/>
              <w:numPr>
                <w:ilvl w:val="0"/>
                <w:numId w:val="2"/>
              </w:numPr>
              <w:spacing w:after="60" w:before="60"/>
            </w:pPr>
            <w:r>
              <w:rPr>
                <w:rFonts w:ascii="Arial" w:cs="Arial" w:eastAsia="Arial" w:hAnsi="Arial"/>
                <w:sz w:val="22"/>
                <w:szCs w:val="22"/>
              </w:rPr>
              <w:t xml:space="preserve">He convenes people around problems — prize, network, missions — and catalyses collaboration. He does not write software or scale products himself.</w:t>
            </w:r>
          </w:p>
          <w:p>
            <w:pPr>
              <w:pStyle w:val="ListParagraph"/>
              <w:numPr>
                <w:ilvl w:val="0"/>
                <w:numId w:val="2"/>
              </w:numPr>
              <w:spacing w:after="60" w:before="60"/>
            </w:pPr>
            <w:r>
              <w:rPr>
                <w:rFonts w:ascii="Arial" w:cs="Arial" w:eastAsia="Arial" w:hAnsi="Arial"/>
                <w:sz w:val="22"/>
                <w:szCs w:val="22"/>
              </w:rPr>
              <w:t xml:space="preserve">OpenNyAI is his current highest-commitment mission: open source AI DPGs (digital public goods) for justice.</w:t>
            </w:r>
          </w:p>
          <w:p>
            <w:pPr>
              <w:spacing w:after="0" w:before="80"/>
            </w:pPr>
          </w:p>
          <w:p>
            <w:pPr>
              <w:spacing w:after="80" w:before="80"/>
            </w:pPr>
            <w:r>
              <w:rPr>
                <w:rFonts w:ascii="Arial" w:cs="Arial" w:eastAsia="Arial" w:hAnsi="Arial"/>
                <w:b/>
                <w:bCs/>
                <w:color w:val="1F3864"/>
                <w:sz w:val="22"/>
                <w:szCs w:val="22"/>
              </w:rPr>
              <w:t xml:space="preserve">He will be most interested in: Where does Legal-TechAI become infrastructure others build on? Not: what does Legal-TechAI do.</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40"/>
              <w:bottom w:type="dxa" w:w="160"/>
              <w:right w:type="dxa" w:w="240"/>
            </w:tcMar>
          </w:tcPr>
          <w:p>
            <w:pPr>
              <w:spacing w:after="0" w:before="0"/>
            </w:pPr>
            <w:r>
              <w:rPr>
                <w:rFonts w:ascii="Arial" w:cs="Arial" w:eastAsia="Arial" w:hAnsi="Arial"/>
                <w:b/>
                <w:bCs/>
                <w:color w:val="C00000"/>
                <w:sz w:val="22"/>
                <w:szCs w:val="22"/>
              </w:rPr>
              <w:t xml:space="preserve">CRITICAL INSIGHT: </w:t>
            </w:r>
            <w:r>
              <w:rPr>
                <w:rFonts w:ascii="Arial" w:cs="Arial" w:eastAsia="Arial" w:hAnsi="Arial"/>
                <w:sz w:val="22"/>
                <w:szCs w:val="22"/>
              </w:rPr>
              <w:t xml:space="preserve">Sachin has seen 648 applications for the Agami Prize. He has heard every pitch about 'AI for legal'. The founders who got his attention positioned their work as a new category, not a better version of an existing one. Your positioning going into this meeting: </w:t>
            </w:r>
            <w:r>
              <w:rPr>
                <w:rFonts w:ascii="Arial" w:cs="Arial" w:eastAsia="Arial" w:hAnsi="Arial"/>
                <w:b/>
                <w:bCs/>
                <w:i/>
                <w:iCs/>
                <w:color w:val="1F3864"/>
                <w:sz w:val="22"/>
                <w:szCs w:val="22"/>
              </w:rPr>
              <w:t xml:space="preserve">"We are building verification infrastructure for criminal proceedings — the layer that tells you what is physically impossible to be true." Not: "We are an AI legal startup."</w:t>
            </w:r>
          </w:p>
        </w:tc>
      </w:tr>
    </w:tbl>
    <w:p>
      <w:pPr>
        <w:spacing w:after="0" w:before="80"/>
      </w:pPr>
    </w:p>
    <w:p>
      <w:pPr>
        <w:pStyle w:val="Heading1"/>
      </w:pPr>
      <w:r>
        <w:rPr>
          <w:rFonts w:ascii="Arial" w:cs="Arial" w:eastAsia="Arial" w:hAnsi="Arial"/>
          <w:b/>
          <w:bCs/>
          <w:color w:val="1F3864"/>
          <w:sz w:val="28"/>
          <w:szCs w:val="28"/>
        </w:rPr>
        <w:t xml:space="preserve">2 — WHAT SACHIN ALREADY KNOWS (DON'T EDUCATE HIM ON THE OBVIOUS)</w:t>
      </w:r>
    </w:p>
    <w:p>
      <w:pPr>
        <w:spacing w:after="80" w:before="80"/>
      </w:pPr>
      <w:r>
        <w:rPr>
          <w:rFonts w:ascii="Arial" w:cs="Arial" w:eastAsia="Arial" w:hAnsi="Arial"/>
          <w:sz w:val="22"/>
          <w:szCs w:val="22"/>
        </w:rPr>
        <w:t xml:space="preserve">Do NOT waste time explaining these — he already knows them better than you do. If you start here, you will lose him in the first 3 minutes.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 already knows this</w:t>
            </w:r>
          </w:p>
        </w:tc>
        <w:tc>
          <w:tcPr>
            <w:tcW w:type="dxa" w:w="46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he does NOT know (your job to tell him)</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52 million pending cases and judicial delay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That no product has addressed deterministic physical impossibility reasoning in criminal evidence — the specific category Legal-TechAI occupies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BNS/BNSS/BSA replaced IPC/CrPC/IEA in 2024</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That you built the inconsistency engine grounded specifically in the new codes — not in the old system</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Undertrial prisoners are 76% of prison population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That the tool which catches IOs altering witness statements is the technical intervention at the exact point where undertrial injustice is manufactured</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OpenNyAI builds Legal NER (Named Entity Recognition)</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That Legal-TechAI's pipeline begins with entity extraction — your Step 1 is directly adjacent to what OpenNyAI's Legal NER does, creating a potential integration point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Agami supports both for-profit and non-profit initiatives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What your specific monetization model is — PP office B2B vs. defense lawyer B2C — and why the revenue structure matters for Agami Prize eligibility</w:t>
            </w:r>
          </w:p>
        </w:tc>
      </w:tr>
    </w:tbl>
    <w:p>
      <w:pPr>
        <w:spacing w:after="0" w:before="80"/>
      </w:pPr>
    </w:p>
    <w:p>
      <w:pPr>
        <w:pStyle w:val="Heading1"/>
      </w:pPr>
      <w:r>
        <w:rPr>
          <w:rFonts w:ascii="Arial" w:cs="Arial" w:eastAsia="Arial" w:hAnsi="Arial"/>
          <w:b/>
          <w:bCs/>
          <w:color w:val="1F3864"/>
          <w:sz w:val="28"/>
          <w:szCs w:val="28"/>
        </w:rPr>
        <w:t xml:space="preserve">3 — TALK TRACK (MINUTE BY MINUTE)</w:t>
      </w:r>
    </w:p>
    <w:p>
      <w:pPr>
        <w:spacing w:after="80" w:before="80"/>
      </w:pPr>
      <w:r>
        <w:rPr>
          <w:rFonts w:ascii="Arial" w:cs="Arial" w:eastAsia="Arial" w:hAnsi="Arial"/>
          <w:sz w:val="22"/>
          <w:szCs w:val="22"/>
        </w:rPr>
        <w:t xml:space="preserve">This is your script. Do not memorize it word for word — internalize the shape. The goal: he talks 60% of the time. You ask, he answers, you connect his answer to your work.</w:t>
      </w:r>
    </w:p>
    <w:p>
      <w:pPr>
        <w:spacing w:after="0" w:before="80"/>
      </w:pPr>
    </w:p>
    <w:p>
      <w:pPr>
        <w:pStyle w:val="Heading2"/>
      </w:pPr>
      <w:r>
        <w:rPr>
          <w:rFonts w:ascii="Arial" w:cs="Arial" w:eastAsia="Arial" w:hAnsi="Arial"/>
          <w:b/>
          <w:bCs/>
          <w:color w:val="2E74B5"/>
          <w:sz w:val="23"/>
          <w:szCs w:val="23"/>
        </w:rPr>
        <w:t xml:space="preserve">OPENING (Minutes 0–3) — Start with his work, not yours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100" w:before="100"/>
            </w:pPr>
            <w:r>
              <w:rPr>
                <w:rFonts w:ascii="Arial" w:cs="Arial" w:eastAsia="Arial" w:hAnsi="Arial"/>
                <w:b/>
                <w:bCs/>
                <w:color w:val="2E74B5"/>
                <w:sz w:val="20"/>
                <w:szCs w:val="20"/>
              </w:rPr>
              <w:t xml:space="preserve">YOU:  </w:t>
            </w:r>
            <w:r>
              <w:rPr>
                <w:rFonts w:ascii="Arial" w:cs="Arial" w:eastAsia="Arial" w:hAnsi="Arial"/>
                <w:i/>
                <w:iCs/>
                <w:color w:val="222222"/>
                <w:sz w:val="22"/>
                <w:szCs w:val="22"/>
              </w:rPr>
              <w:t xml:space="preserve">"I read the Agamiscape 2022 report — specifically the section on in-house legal as early adopters. I noticed that in the shortlist of 648 applications, there was nothing specifically addressing criminal evidence verification. That gap is what I'm working on. Before I get into that, I want to understand something from you: when you look at OpenNyAI's progress over the last two years, what's the gap between what the open-source tools can do today and what they need to be able to do for meaningful court-level impact?"</w:t>
            </w:r>
          </w:p>
          <w:p>
            <w:pPr>
              <w:spacing w:after="0" w:before="80"/>
            </w:pPr>
            <w:r>
              <w:rPr>
                <w:rFonts w:ascii="Arial" w:cs="Arial" w:eastAsia="Arial" w:hAnsi="Arial"/>
                <w:b/>
                <w:bCs/>
                <w:color w:val="375623"/>
                <w:sz w:val="20"/>
                <w:szCs w:val="20"/>
              </w:rPr>
              <w:t xml:space="preserve">WHY THIS WORKS: </w:t>
            </w:r>
            <w:r>
              <w:rPr>
                <w:rFonts w:ascii="Arial" w:cs="Arial" w:eastAsia="Arial" w:hAnsi="Arial"/>
                <w:color w:val="444444"/>
                <w:sz w:val="20"/>
                <w:szCs w:val="20"/>
              </w:rPr>
              <w:t xml:space="preserve">You have cited a specific report (shows homework), named a specific observation (shows analysis), and immediately turned the conversation to his expertise. He will talk. While he talks, listen for: which OpenNyAI components are furthest along, which problems they haven't cracked, which partners they're looking for.</w:t>
            </w:r>
          </w:p>
        </w:tc>
      </w:tr>
    </w:tbl>
    <w:p>
      <w:pPr>
        <w:spacing w:after="0" w:before="80"/>
      </w:pPr>
    </w:p>
    <w:p>
      <w:pPr>
        <w:pStyle w:val="Heading2"/>
      </w:pPr>
      <w:r>
        <w:rPr>
          <w:rFonts w:ascii="Arial" w:cs="Arial" w:eastAsia="Arial" w:hAnsi="Arial"/>
          <w:b/>
          <w:bCs/>
          <w:color w:val="2E74B5"/>
          <w:sz w:val="23"/>
          <w:szCs w:val="23"/>
        </w:rPr>
        <w:t xml:space="preserve">TRANSITION (Minutes 3–8) — Connect his answer to your work</w:t>
      </w:r>
    </w:p>
    <w:p>
      <w:pPr>
        <w:spacing w:after="80" w:before="80"/>
      </w:pPr>
      <w:r>
        <w:rPr>
          <w:rFonts w:ascii="Arial" w:cs="Arial" w:eastAsia="Arial" w:hAnsi="Arial"/>
          <w:sz w:val="22"/>
          <w:szCs w:val="22"/>
        </w:rPr>
        <w:t xml:space="preserve">After he describes OpenNyAI's current state, use what he said to build your bridge: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100" w:before="100"/>
            </w:pPr>
            <w:r>
              <w:rPr>
                <w:rFonts w:ascii="Arial" w:cs="Arial" w:eastAsia="Arial" w:hAnsi="Arial"/>
                <w:b/>
                <w:bCs/>
                <w:color w:val="2E74B5"/>
                <w:sz w:val="20"/>
                <w:szCs w:val="20"/>
              </w:rPr>
              <w:t xml:space="preserve">YOU:  </w:t>
            </w:r>
            <w:r>
              <w:rPr>
                <w:rFonts w:ascii="Arial" w:cs="Arial" w:eastAsia="Arial" w:hAnsi="Arial"/>
                <w:i/>
                <w:iCs/>
                <w:color w:val="222222"/>
                <w:sz w:val="22"/>
                <w:szCs w:val="22"/>
              </w:rPr>
              <w:t xml:space="preserve">"That's exactly the gap I'm sitting in. Legal NER can extract who was where and when — that's what we also do in our pipeline's first step. But the next question after extraction is: do these extracted facts contradict each other? And can you prove the contradiction is physically impossible, not just unlikely? That's deterministic reasoning — and it's what our inconsistency engine does. We have it live at legaltechai.in. Would it be useful to show you a specific example?"</w:t>
            </w:r>
          </w:p>
          <w:p>
            <w:pPr>
              <w:spacing w:after="0" w:before="80"/>
            </w:pPr>
            <w:r>
              <w:rPr>
                <w:rFonts w:ascii="Arial" w:cs="Arial" w:eastAsia="Arial" w:hAnsi="Arial"/>
                <w:b/>
                <w:bCs/>
                <w:color w:val="375623"/>
                <w:sz w:val="20"/>
                <w:szCs w:val="20"/>
              </w:rPr>
              <w:t xml:space="preserve">WHY THIS WORKS: </w:t>
            </w:r>
            <w:r>
              <w:rPr>
                <w:rFonts w:ascii="Arial" w:cs="Arial" w:eastAsia="Arial" w:hAnsi="Arial"/>
                <w:color w:val="444444"/>
                <w:sz w:val="20"/>
                <w:szCs w:val="20"/>
              </w:rPr>
              <w:t xml:space="preserve">You've positioned Legal-TechAI as the application layer above OpenNyAI's NLP infrastructure — not a competitor, a complement. You've asked permission before demoing. And you've used his own words (or concepts from his answer) to frame your work.</w:t>
            </w:r>
          </w:p>
        </w:tc>
      </w:tr>
    </w:tbl>
    <w:p>
      <w:pPr>
        <w:spacing w:after="0" w:before="80"/>
      </w:pPr>
    </w:p>
    <w:p>
      <w:pPr>
        <w:pStyle w:val="Heading2"/>
      </w:pPr>
      <w:r>
        <w:rPr>
          <w:rFonts w:ascii="Arial" w:cs="Arial" w:eastAsia="Arial" w:hAnsi="Arial"/>
          <w:b/>
          <w:bCs/>
          <w:color w:val="2E74B5"/>
          <w:sz w:val="23"/>
          <w:szCs w:val="23"/>
        </w:rPr>
        <w:t xml:space="preserve">THE DEMO MOMENT (Minutes 8–12) — Keep it to one case, one contradiction</w:t>
      </w:r>
    </w:p>
    <w:p>
      <w:pPr>
        <w:spacing w:after="80" w:before="80"/>
      </w:pPr>
      <w:r>
        <w:rPr>
          <w:rFonts w:ascii="Arial" w:cs="Arial" w:eastAsia="Arial" w:hAnsi="Arial"/>
          <w:sz w:val="22"/>
          <w:szCs w:val="22"/>
        </w:rPr>
        <w:t xml:space="preserve">If he says yes to seeing an example, show Bharat Fakira Dhivar. Weapon: pistol (FIR) vs. knife (court testimony). Same IO authored both. One-sentence explanation: "Same police officer said pistol in the FIR and knife in court. The Supreme Court acquitted." Then close the demo.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100" w:before="100"/>
            </w:pPr>
            <w:r>
              <w:rPr>
                <w:rFonts w:ascii="Arial" w:cs="Arial" w:eastAsia="Arial" w:hAnsi="Arial"/>
                <w:b/>
                <w:bCs/>
                <w:color w:val="2E74B5"/>
                <w:sz w:val="20"/>
                <w:szCs w:val="20"/>
              </w:rPr>
              <w:t xml:space="preserve">YOU:  </w:t>
            </w:r>
            <w:r>
              <w:rPr>
                <w:rFonts w:ascii="Arial" w:cs="Arial" w:eastAsia="Arial" w:hAnsi="Arial"/>
                <w:i/>
                <w:iCs/>
                <w:color w:val="222222"/>
                <w:sz w:val="22"/>
                <w:szCs w:val="22"/>
              </w:rPr>
              <w:t xml:space="preserve">"The reason this matters specifically under BNSS is Section 180 — that's where the IO records witness statements. Between that recording and the court deposition, things change. Our engine catches that change. Not as a guess — as a comparison of the exact text, flagged by severity, with the quoted excerpt."</w:t>
            </w:r>
          </w:p>
          <w:p>
            <w:pPr>
              <w:spacing w:after="0" w:before="80"/>
            </w:pPr>
            <w:r>
              <w:rPr>
                <w:rFonts w:ascii="Arial" w:cs="Arial" w:eastAsia="Arial" w:hAnsi="Arial"/>
                <w:b/>
                <w:bCs/>
                <w:color w:val="C00000"/>
                <w:sz w:val="20"/>
                <w:szCs w:val="20"/>
              </w:rPr>
              <w:t xml:space="preserve">THEN STOP. Don't show more features. Don't show RAG. Don't show OCR. One thing.</w:t>
            </w:r>
          </w:p>
        </w:tc>
      </w:tr>
    </w:tbl>
    <w:p>
      <w:pPr>
        <w:spacing w:after="0" w:before="80"/>
      </w:pPr>
    </w:p>
    <w:p>
      <w:pPr>
        <w:pStyle w:val="Heading2"/>
      </w:pPr>
      <w:r>
        <w:rPr>
          <w:rFonts w:ascii="Arial" w:cs="Arial" w:eastAsia="Arial" w:hAnsi="Arial"/>
          <w:b/>
          <w:bCs/>
          <w:color w:val="2E74B5"/>
          <w:sz w:val="23"/>
          <w:szCs w:val="23"/>
        </w:rPr>
        <w:t xml:space="preserve">THE QUESTION BLOCK (Minutes 12–22) — Let him drive</w:t>
      </w:r>
    </w:p>
    <w:p>
      <w:pPr>
        <w:spacing w:after="80" w:before="80"/>
      </w:pPr>
      <w:r>
        <w:rPr>
          <w:rFonts w:ascii="Arial" w:cs="Arial" w:eastAsia="Arial" w:hAnsi="Arial"/>
          <w:sz w:val="22"/>
          <w:szCs w:val="22"/>
        </w:rPr>
        <w:t xml:space="preserve">After the demo, ask the question that matters most. Depending on his engagement: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3200"/>
        <w:gridCol w:w="5880"/>
      </w:tblGrid>
      <w:tr>
        <w:tc>
          <w:tcPr>
            <w:tcW w:type="dxa" w:w="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If he seems interested in…</w:t>
            </w:r>
          </w:p>
        </w:tc>
        <w:tc>
          <w:tcPr>
            <w:tcW w:type="dxa" w:w="5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Ask this</w:t>
            </w:r>
          </w:p>
        </w:tc>
      </w:tr>
      <w:tr>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4"/>
                <w:szCs w:val="24"/>
              </w:rPr>
              <w:t xml:space="preserve">OpenNyAI integration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"Our entity extraction is doing something very similar to OpenNyAI's Legal NER — except it's tuned for the BNSS 2024 statute. Is there a conversation worth having between our team and the OpenNyAI core maintainers about whether we should be building on top of each other rather than in parallel?"</w:t>
            </w:r>
          </w:p>
        </w:tc>
        <w:tc>
          <w:tcPr>
            <w:tcW w:type="dxa" w:w="5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20"/>
                <w:szCs w:val="20"/>
              </w:rPr>
            </w:r>
          </w:p>
        </w:tc>
      </w:tr>
      <w:tr>
        <w:tc>
          <w:tcPr>
            <w:tcW w:type="dxa" w:w="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4B5"/>
                <w:sz w:val="24"/>
                <w:szCs w:val="24"/>
              </w:rPr>
              <w:t xml:space="preserve">Prize / funding</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"We're at the Idea Prize stage — live product, proof of concept, not yet scaled. The criminal evidence verification category was unoccupied in 2022. Do you see Legal-TechAI as the kind of initiative the Idea Prize is designed for, or is there a threshold we should hit before applying?"</w:t>
            </w:r>
          </w:p>
        </w:tc>
        <w:tc>
          <w:tcPr>
            <w:tcW w:type="dxa" w:w="5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20"/>
                <w:szCs w:val="20"/>
              </w:rPr>
            </w:r>
          </w:p>
        </w:tc>
      </w:tr>
      <w:tr>
        <w:tc>
          <w:tcPr>
            <w:tcW w:type="dxa" w:w="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74B5"/>
                <w:sz w:val="24"/>
                <w:szCs w:val="24"/>
              </w:rPr>
              <w:t xml:space="preserve">Ecosystem / who to talk to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"You've shortlisted 648 initiatives. Who in your network is working on the institutional buyer problem — specifically getting tools adopted by State PP offices or District Legal Services Authorities? That's the gap I'm not sure how to cross."</w:t>
            </w:r>
          </w:p>
        </w:tc>
        <w:tc>
          <w:tcPr>
            <w:tcW w:type="dxa" w:w="5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20"/>
                <w:szCs w:val="20"/>
              </w:rPr>
            </w:r>
          </w:p>
        </w:tc>
      </w:tr>
      <w:tr>
        <w:tc>
          <w:tcPr>
            <w:tcW w:type="dxa" w:w="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2E74B5"/>
                <w:sz w:val="24"/>
                <w:szCs w:val="24"/>
              </w:rPr>
              <w:t xml:space="preserve">The 'so what' challenge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"You've seen a lot of tools that can detect contradictions. What would make this category feel different enough to you that it deserves infrastructure-level attention, rather than being another feature in a legal research tool?"</w:t>
            </w:r>
          </w:p>
        </w:tc>
        <w:tc>
          <w:tcPr>
            <w:tcW w:type="dxa" w:w="5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20"/>
                <w:szCs w:val="20"/>
              </w:rPr>
            </w:r>
          </w:p>
        </w:tc>
      </w:tr>
    </w:tbl>
    <w:p>
      <w:pPr>
        <w:spacing w:after="0" w:before="80"/>
      </w:pPr>
    </w:p>
    <w:p>
      <w:pPr>
        <w:pStyle w:val="Heading2"/>
      </w:pPr>
      <w:r>
        <w:rPr>
          <w:rFonts w:ascii="Arial" w:cs="Arial" w:eastAsia="Arial" w:hAnsi="Arial"/>
          <w:b/>
          <w:bCs/>
          <w:color w:val="2E74B5"/>
          <w:sz w:val="23"/>
          <w:szCs w:val="23"/>
        </w:rPr>
        <w:t xml:space="preserve">THE CLOSE (Minutes 22–30) — Ask for a specific next step</w:t>
      </w:r>
    </w:p>
    <w:p>
      <w:pPr>
        <w:spacing w:after="80" w:before="80"/>
      </w:pPr>
      <w:r>
        <w:rPr>
          <w:rFonts w:ascii="Arial" w:cs="Arial" w:eastAsia="Arial" w:hAnsi="Arial"/>
          <w:sz w:val="22"/>
          <w:szCs w:val="22"/>
        </w:rPr>
        <w:t xml:space="preserve">Do not leave with 'let's stay in touch.' That's zero. Before you wrap, say one of these — pick based on what the conversation surfaced:</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40" w:before="0"/>
            </w:pPr>
            <w:r>
              <w:rPr>
                <w:rFonts w:ascii="Arial" w:cs="Arial" w:eastAsia="Arial" w:hAnsi="Arial"/>
                <w:b/>
                <w:bCs/>
                <w:color w:val="1F3864"/>
                <w:sz w:val="22"/>
                <w:szCs w:val="22"/>
              </w:rPr>
              <w:t xml:space="preserve">If OpenNyAI came up: </w:t>
            </w:r>
          </w:p>
          <w:p>
            <w:pPr>
              <w:spacing w:after="100" w:before="100"/>
            </w:pPr>
            <w:r>
              <w:rPr>
                <w:rFonts w:ascii="Arial" w:cs="Arial" w:eastAsia="Arial" w:hAnsi="Arial"/>
                <w:b/>
                <w:bCs/>
                <w:color w:val="2E74B5"/>
                <w:sz w:val="20"/>
                <w:szCs w:val="20"/>
              </w:rPr>
              <w:t xml:space="preserve">YOU:  </w:t>
            </w:r>
            <w:r>
              <w:rPr>
                <w:rFonts w:ascii="Arial" w:cs="Arial" w:eastAsia="Arial" w:hAnsi="Arial"/>
                <w:i/>
                <w:iCs/>
                <w:color w:val="222222"/>
                <w:sz w:val="22"/>
                <w:szCs w:val="22"/>
              </w:rPr>
              <w:t xml:space="preserve">"Would you be comfortable making one introduction — to whoever leads the OpenNyAI technical direction? I'd like to explore whether our entity extraction layer and their Legal NER can inform each other. I'll do the work — I just need the door opened."</w:t>
            </w:r>
          </w:p>
          <w:p>
            <w:pPr>
              <w:spacing w:after="0" w:before="80"/>
            </w:pPr>
          </w:p>
          <w:p>
            <w:pPr>
              <w:spacing w:after="40" w:before="40"/>
            </w:pPr>
            <w:r>
              <w:rPr>
                <w:rFonts w:ascii="Arial" w:cs="Arial" w:eastAsia="Arial" w:hAnsi="Arial"/>
                <w:b/>
                <w:bCs/>
                <w:color w:val="1F3864"/>
                <w:sz w:val="22"/>
                <w:szCs w:val="22"/>
              </w:rPr>
              <w:t xml:space="preserve">If Prize came up: </w:t>
            </w:r>
          </w:p>
          <w:p>
            <w:pPr>
              <w:spacing w:after="100" w:before="100"/>
            </w:pPr>
            <w:r>
              <w:rPr>
                <w:rFonts w:ascii="Arial" w:cs="Arial" w:eastAsia="Arial" w:hAnsi="Arial"/>
                <w:b/>
                <w:bCs/>
                <w:color w:val="2E74B5"/>
                <w:sz w:val="20"/>
                <w:szCs w:val="20"/>
              </w:rPr>
              <w:t xml:space="preserve">YOU:  </w:t>
            </w:r>
            <w:r>
              <w:rPr>
                <w:rFonts w:ascii="Arial" w:cs="Arial" w:eastAsia="Arial" w:hAnsi="Arial"/>
                <w:i/>
                <w:iCs/>
                <w:color w:val="222222"/>
                <w:sz w:val="22"/>
                <w:szCs w:val="22"/>
              </w:rPr>
              <w:t xml:space="preserve">"If you'd be open to it — once we've run the inconsistency engine on 10 real redacted charge sheets, would you be willing to look at our Agami Prize application before we submit? Not for endorsement — just to tell me if our framing is off."</w:t>
            </w:r>
          </w:p>
          <w:p>
            <w:pPr>
              <w:spacing w:after="0" w:before="80"/>
            </w:pPr>
          </w:p>
          <w:p>
            <w:pPr>
              <w:spacing w:after="40" w:before="40"/>
            </w:pPr>
            <w:r>
              <w:rPr>
                <w:rFonts w:ascii="Arial" w:cs="Arial" w:eastAsia="Arial" w:hAnsi="Arial"/>
                <w:b/>
                <w:bCs/>
                <w:color w:val="1F3864"/>
                <w:sz w:val="22"/>
                <w:szCs w:val="22"/>
              </w:rPr>
              <w:t xml:space="preserve">If it was a general exploratory conversation: </w:t>
            </w:r>
          </w:p>
          <w:p>
            <w:pPr>
              <w:spacing w:after="100" w:before="100"/>
            </w:pPr>
            <w:r>
              <w:rPr>
                <w:rFonts w:ascii="Arial" w:cs="Arial" w:eastAsia="Arial" w:hAnsi="Arial"/>
                <w:b/>
                <w:bCs/>
                <w:color w:val="2E74B5"/>
                <w:sz w:val="20"/>
                <w:szCs w:val="20"/>
              </w:rPr>
              <w:t xml:space="preserve">YOU:  </w:t>
            </w:r>
            <w:r>
              <w:rPr>
                <w:rFonts w:ascii="Arial" w:cs="Arial" w:eastAsia="Arial" w:hAnsi="Arial"/>
                <w:i/>
                <w:iCs/>
                <w:color w:val="222222"/>
                <w:sz w:val="22"/>
                <w:szCs w:val="22"/>
              </w:rPr>
              <w:t xml:space="preserve">"I know you're running the Agami ecosystem — not a VC. What's the most useful thing I could bring you the next time we talk? A pilot with a law firm? A specific integration with eCourts data? I want the second conversation to be more useful than the first."</w:t>
            </w:r>
          </w:p>
        </w:tc>
      </w:tr>
    </w:tbl>
    <w:p>
      <w:pPr>
        <w:spacing w:after="0" w:before="80"/>
      </w:pPr>
    </w:p>
    <w:p>
      <w:pPr>
        <w:pStyle w:val="Heading1"/>
      </w:pPr>
      <w:r>
        <w:rPr>
          <w:rFonts w:ascii="Arial" w:cs="Arial" w:eastAsia="Arial" w:hAnsi="Arial"/>
          <w:b/>
          <w:bCs/>
          <w:color w:val="1F3864"/>
          <w:sz w:val="28"/>
          <w:szCs w:val="28"/>
        </w:rPr>
        <w:t xml:space="preserve">4 — WHAT TO LEAVE BEHIND</w:t>
      </w:r>
    </w:p>
    <w:p>
      <w:pPr>
        <w:spacing w:after="80" w:before="80"/>
      </w:pPr>
      <w:r>
        <w:rPr>
          <w:rFonts w:ascii="Arial" w:cs="Arial" w:eastAsia="Arial" w:hAnsi="Arial"/>
          <w:sz w:val="22"/>
          <w:szCs w:val="22"/>
        </w:rPr>
        <w:t xml:space="preserve">Leave the LegalTechAI_OnePager.docx (printed, one page, clean). Nothing else on paper. No pitch deck. He doesn't want a deck — he wants a founder who knows what they're building and why.</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40" w:before="0"/>
            </w:pPr>
            <w:r>
              <w:rPr>
                <w:rFonts w:ascii="Arial" w:cs="Arial" w:eastAsia="Arial" w:hAnsi="Arial"/>
                <w:b/>
                <w:bCs/>
                <w:color w:val="1F3864"/>
                <w:sz w:val="22"/>
                <w:szCs w:val="22"/>
              </w:rPr>
              <w:t xml:space="preserve">WHAT TO SEND WITHIN 24 HOURS:</w:t>
            </w:r>
          </w:p>
          <w:p>
            <w:pPr>
              <w:spacing w:after="0" w:before="0"/>
            </w:pPr>
            <w:r>
              <w:rPr>
                <w:rFonts w:ascii="Arial" w:cs="Arial" w:eastAsia="Arial" w:hAnsi="Arial"/>
                <w:sz w:val="22"/>
                <w:szCs w:val="22"/>
              </w:rPr>
              <w:t xml:space="preserve">A short email (under 150 words) that:</w:t>
            </w:r>
          </w:p>
          <w:p>
            <w:pPr>
              <w:pStyle w:val="ListParagraph"/>
              <w:numPr>
                <w:ilvl w:val="0"/>
                <w:numId w:val="2"/>
              </w:numPr>
              <w:spacing w:after="0" w:before="40"/>
            </w:pPr>
            <w:r>
              <w:rPr>
                <w:rFonts w:ascii="Arial" w:cs="Arial" w:eastAsia="Arial" w:hAnsi="Arial"/>
                <w:sz w:val="22"/>
                <w:szCs w:val="22"/>
              </w:rPr>
              <w:t xml:space="preserve">References one specific thing he said that you're going to act on</w:t>
            </w:r>
          </w:p>
          <w:p>
            <w:pPr>
              <w:pStyle w:val="ListParagraph"/>
              <w:numPr>
                <w:ilvl w:val="0"/>
                <w:numId w:val="2"/>
              </w:numPr>
              <w:spacing w:after="0" w:before="0"/>
            </w:pPr>
            <w:r>
              <w:rPr>
                <w:rFonts w:ascii="Arial" w:cs="Arial" w:eastAsia="Arial" w:hAnsi="Arial"/>
                <w:sz w:val="22"/>
                <w:szCs w:val="22"/>
              </w:rPr>
              <w:t xml:space="preserve">Attaches the one-pager (or links to legaltechai.in)</w:t>
            </w:r>
          </w:p>
          <w:p>
            <w:pPr>
              <w:pStyle w:val="ListParagraph"/>
              <w:numPr>
                <w:ilvl w:val="0"/>
                <w:numId w:val="2"/>
              </w:numPr>
              <w:spacing w:after="0" w:before="0"/>
            </w:pPr>
            <w:r>
              <w:rPr>
                <w:rFonts w:ascii="Arial" w:cs="Arial" w:eastAsia="Arial" w:hAnsi="Arial"/>
                <w:sz w:val="22"/>
                <w:szCs w:val="22"/>
              </w:rPr>
              <w:t xml:space="preserve">States one clear ask (the specific next step you agreed on, or the specific ask you didn't get a clear answer on)</w:t>
            </w:r>
          </w:p>
          <w:p>
            <w:pPr>
              <w:pStyle w:val="ListParagraph"/>
              <w:numPr>
                <w:ilvl w:val="0"/>
                <w:numId w:val="2"/>
              </w:numPr>
              <w:spacing w:after="40" w:before="0"/>
            </w:pPr>
            <w:r>
              <w:rPr>
                <w:rFonts w:ascii="Arial" w:cs="Arial" w:eastAsia="Arial" w:hAnsi="Arial"/>
                <w:sz w:val="22"/>
                <w:szCs w:val="22"/>
              </w:rPr>
              <w:t xml:space="preserve">Has a subject line that is not 'Great meeting you!' — use: 'Legal-TechAI / follow-up on [the specific thing discussed]'</w:t>
            </w:r>
          </w:p>
        </w:tc>
      </w:tr>
    </w:tbl>
    <w:p>
      <w:pPr>
        <w:spacing w:after="0" w:before="80"/>
      </w:pPr>
    </w:p>
    <w:p>
      <w:pPr>
        <w:pStyle w:val="Heading1"/>
      </w:pPr>
      <w:r>
        <w:rPr>
          <w:rFonts w:ascii="Arial" w:cs="Arial" w:eastAsia="Arial" w:hAnsi="Arial"/>
          <w:b/>
          <w:bCs/>
          <w:color w:val="1F3864"/>
          <w:sz w:val="28"/>
          <w:szCs w:val="28"/>
        </w:rPr>
        <w:t xml:space="preserve">5 — WHAT NOT TO DO (FOUNDER TRAPS IN THIS MEETING)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TRAP</w:t>
            </w:r>
          </w:p>
        </w:tc>
        <w:tc>
          <w:tcPr>
            <w:tcW w:type="dxa" w:w="468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WHY IT KILLS THE MEETING</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Leading with your feature list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He has heard 648 feature lists. Lead with the problem and the category, not the features.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Explaining what BNS/BNSS/BSA is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He knows. If you explain the codes to Sachin Malhan, you look like you don't know who he is.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Asking for money or a grant directly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Agami doesn't give grants at will. The prize is biennial and competitive. Asking for money outside that process signals you haven't done basic research.</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Saying 'we're disrupting legal'</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He will mentally check out. Say instead: 'we are building verification infrastructure that didn't exist in this category before.'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Showing 3+ features in the demo</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Every additional feature dilutes the one that's actually interesting. One case, one contradiction, one wow moment.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Filling silence with talking</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When he's thinking, let him think. The most important things he says will come after a pause. Don't rush past silence.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Ending without asking for something specific</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biggest mistake. A vague 'let's keep in touch' is a zero. Ask for an introduction, a feedback session, or a permission to apply for the next prize cycle.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Pitching OpenNyAI as a competitor</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It is not. OpenNyAI does NLP infrastructure (NER, extracting entities). Legal-TechAI does contradiction reasoning. They are pipeline stages, not competitors. Frame it that way.</w:t>
            </w:r>
          </w:p>
        </w:tc>
      </w:tr>
    </w:tbl>
    <w:p>
      <w:pPr>
        <w:spacing w:after="0" w:before="80"/>
      </w:pPr>
    </w:p>
    <w:p>
      <w:pPr>
        <w:pStyle w:val="Heading1"/>
      </w:pPr>
      <w:r>
        <w:rPr>
          <w:rFonts w:ascii="Arial" w:cs="Arial" w:eastAsia="Arial" w:hAnsi="Arial"/>
          <w:b/>
          <w:bCs/>
          <w:color w:val="1F3864"/>
          <w:sz w:val="28"/>
          <w:szCs w:val="28"/>
        </w:rPr>
        <w:t xml:space="preserve">6 — IF HE PUSHES BACK: HANDLING HARD QUESTIONS</w:t>
      </w:r>
    </w:p>
    <w:p>
      <w:pPr>
        <w:spacing w:after="0" w:before="80"/>
      </w:pPr>
    </w:p>
    <w:p>
      <w:pPr>
        <w:pStyle w:val="Heading2"/>
      </w:pPr>
      <w:r>
        <w:rPr>
          <w:rFonts w:ascii="Arial" w:cs="Arial" w:eastAsia="Arial" w:hAnsi="Arial"/>
          <w:b/>
          <w:bCs/>
          <w:color w:val="2E74B5"/>
          <w:sz w:val="23"/>
          <w:szCs w:val="23"/>
        </w:rPr>
        <w:t xml:space="preserve">"How is this different from just prompting an LLM to compare two documents?"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0" w:before="0"/>
            </w:pPr>
            <w:r>
              <w:rPr>
                <w:rFonts w:ascii="Arial" w:cs="Arial" w:eastAsia="Arial" w:hAnsi="Arial"/>
                <w:b/>
                <w:bCs/>
                <w:color w:val="1F3864"/>
                <w:sz w:val="20"/>
                <w:szCs w:val="20"/>
              </w:rPr>
              <w:t xml:space="preserve">YOUR ANSWER: </w:t>
            </w:r>
            <w:r>
              <w:rPr>
                <w:rFonts w:ascii="Arial" w:cs="Arial" w:eastAsia="Arial" w:hAnsi="Arial"/>
                <w:i/>
                <w:iCs/>
                <w:sz w:val="22"/>
                <w:szCs w:val="22"/>
              </w:rPr>
              <w:t xml:space="preserve">"An LLM will tell you there's a contradiction. It may hallucinate one that doesn't exist, or miss one that does. Our physical impossibility detection is deterministic — it uses arithmetic and a distance table, not probabilities. Mumbai to Pune is 150 km. If the FIR says the accused was in Mumbai at 9 PM and the witness says Pune at 9:15 PM, that's a mathematical proof, not a model's opinion. Courts care about proof, not confidence scores."</w:t>
            </w:r>
          </w:p>
        </w:tc>
      </w:tr>
    </w:tbl>
    <w:p>
      <w:pPr>
        <w:spacing w:after="0" w:before="80"/>
      </w:pPr>
    </w:p>
    <w:p>
      <w:pPr>
        <w:pStyle w:val="Heading2"/>
      </w:pPr>
      <w:r>
        <w:rPr>
          <w:rFonts w:ascii="Arial" w:cs="Arial" w:eastAsia="Arial" w:hAnsi="Arial"/>
          <w:b/>
          <w:bCs/>
          <w:color w:val="2E74B5"/>
          <w:sz w:val="23"/>
          <w:szCs w:val="23"/>
        </w:rPr>
        <w:t xml:space="preserve">"Who is going to pay for this?"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0" w:before="0"/>
            </w:pPr>
            <w:r>
              <w:rPr>
                <w:rFonts w:ascii="Arial" w:cs="Arial" w:eastAsia="Arial" w:hAnsi="Arial"/>
                <w:b/>
                <w:bCs/>
                <w:color w:val="1F3864"/>
                <w:sz w:val="20"/>
                <w:szCs w:val="20"/>
              </w:rPr>
              <w:t xml:space="preserve">YOUR ANSWER: </w:t>
            </w:r>
            <w:r>
              <w:rPr>
                <w:rFonts w:ascii="Arial" w:cs="Arial" w:eastAsia="Arial" w:hAnsi="Arial"/>
                <w:i/>
                <w:iCs/>
                <w:sz w:val="22"/>
                <w:szCs w:val="22"/>
              </w:rPr>
              <w:t xml:space="preserve">"This is the honest gap we're working on. Defense lawyers need this the most but have the least capital. Our current thesis: the institutional buyer is State Public Prosecutor offices — conviction rates are measured, budgets exist, and the PP has direct motivation to pre-validate their own chargesheet before a defense lawyer tears it apart. We're also looking at IRDAI-regulated insurance companies for MACT fraud detection. I'd value your read on which of these routes has the more viable path inside the Agami ecosystem."</w:t>
            </w:r>
          </w:p>
          <w:p>
            <w:pPr>
              <w:spacing w:after="0" w:before="60"/>
            </w:pPr>
            <w:r>
              <w:rPr>
                <w:rFonts w:ascii="Arial" w:cs="Arial" w:eastAsia="Arial" w:hAnsi="Arial"/>
                <w:i/>
                <w:iCs/>
                <w:color w:val="375623"/>
                <w:sz w:val="20"/>
                <w:szCs w:val="20"/>
              </w:rPr>
              <w:t xml:space="preserve">WHY THIS WORKS: You are honest. You name the specific institutional buyer (PP office). You turn his pushback into an ask for his counsel — which is what he enjoys giving.</w:t>
            </w:r>
          </w:p>
        </w:tc>
      </w:tr>
    </w:tbl>
    <w:p>
      <w:pPr>
        <w:spacing w:after="0" w:before="80"/>
      </w:pPr>
    </w:p>
    <w:p>
      <w:pPr>
        <w:pStyle w:val="Heading2"/>
      </w:pPr>
      <w:r>
        <w:rPr>
          <w:rFonts w:ascii="Arial" w:cs="Arial" w:eastAsia="Arial" w:hAnsi="Arial"/>
          <w:b/>
          <w:bCs/>
          <w:color w:val="2E74B5"/>
          <w:sz w:val="23"/>
          <w:szCs w:val="23"/>
        </w:rPr>
        <w:t xml:space="preserve">"Aren't the police going to block adoption of anything that catches their contradictions?"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0" w:before="0"/>
            </w:pPr>
            <w:r>
              <w:rPr>
                <w:rFonts w:ascii="Arial" w:cs="Arial" w:eastAsia="Arial" w:hAnsi="Arial"/>
                <w:b/>
                <w:bCs/>
                <w:color w:val="1F3864"/>
                <w:sz w:val="20"/>
                <w:szCs w:val="20"/>
              </w:rPr>
              <w:t xml:space="preserve">YOUR ANSWER: </w:t>
            </w:r>
            <w:r>
              <w:rPr>
                <w:rFonts w:ascii="Arial" w:cs="Arial" w:eastAsia="Arial" w:hAnsi="Arial"/>
                <w:i/>
                <w:iCs/>
                <w:sz w:val="22"/>
                <w:szCs w:val="22"/>
              </w:rPr>
              <w:t xml:space="preserve">"Yes — and we've thought about this. The entry point is not the IO or police administration. It's the PP, who is technically independent of police under BNSS. The PP has every motivation to clean up a chargesheet before it reaches defense counsel. Once PPs are using it, the secondary effect is that IOs who want to avoid PP embarrassment will write cleaner chargesheets in the first place. Adoption through the legal professional, not the investigating agency."</w:t>
            </w:r>
          </w:p>
        </w:tc>
      </w:tr>
    </w:tbl>
    <w:p>
      <w:pPr>
        <w:spacing w:after="0" w:before="80"/>
      </w:pPr>
    </w:p>
    <w:p>
      <w:pPr>
        <w:pStyle w:val="Heading2"/>
      </w:pPr>
      <w:r>
        <w:rPr>
          <w:rFonts w:ascii="Arial" w:cs="Arial" w:eastAsia="Arial" w:hAnsi="Arial"/>
          <w:b/>
          <w:bCs/>
          <w:color w:val="2E74B5"/>
          <w:sz w:val="23"/>
          <w:szCs w:val="23"/>
        </w:rPr>
        <w:t xml:space="preserve">"Why are you the right person to build this?"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0" w:before="0"/>
            </w:pPr>
            <w:r>
              <w:rPr>
                <w:rFonts w:ascii="Arial" w:cs="Arial" w:eastAsia="Arial" w:hAnsi="Arial"/>
                <w:b/>
                <w:bCs/>
                <w:color w:val="1F3864"/>
                <w:sz w:val="20"/>
                <w:szCs w:val="20"/>
              </w:rPr>
              <w:t xml:space="preserve">YOUR ANSWER: </w:t>
            </w:r>
            <w:r>
              <w:rPr>
                <w:rFonts w:ascii="Arial" w:cs="Arial" w:eastAsia="Arial" w:hAnsi="Arial"/>
                <w:i/>
                <w:iCs/>
                <w:sz w:val="22"/>
                <w:szCs w:val="22"/>
              </w:rPr>
              <w:t xml:space="preserve">"I'm a non-lawyer who had to learn the system from the ground up — and that forced me to understand the actual process rather than the legal theory. I built the engine without assuming I understood how courts work, which is why I mapped every step from FIR to judgment before writing a line of code. I've also learned that the hardest problem isn't the technology — it's the adoption game, which is why I'm sitting across from you."</w:t>
            </w:r>
          </w:p>
        </w:tc>
      </w:tr>
    </w:tbl>
    <w:p>
      <w:pPr>
        <w:spacing w:after="0" w:before="80"/>
      </w:pPr>
    </w:p>
    <w:p>
      <w:pPr>
        <w:pStyle w:val="Heading1"/>
      </w:pPr>
      <w:r>
        <w:rPr>
          <w:rFonts w:ascii="Arial" w:cs="Arial" w:eastAsia="Arial" w:hAnsi="Arial"/>
          <w:b/>
          <w:bCs/>
          <w:color w:val="1F3864"/>
          <w:sz w:val="28"/>
          <w:szCs w:val="28"/>
        </w:rPr>
        <w:t xml:space="preserve">7 — THE THREE OUTCOMES, RANKED</w:t>
      </w:r>
    </w:p>
    <w:p>
      <w:pPr>
        <w:spacing w:after="80" w:before="80"/>
      </w:pPr>
      <w:r>
        <w:rPr>
          <w:rFonts w:ascii="Arial" w:cs="Arial" w:eastAsia="Arial" w:hAnsi="Arial"/>
          <w:sz w:val="22"/>
          <w:szCs w:val="22"/>
        </w:rPr>
        <w:t xml:space="preserve">Know what you're aiming for before you walk in. If you get #1, the meeting was exceptional. If you get #3, the meeting was still worth 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6040"/>
      </w:tblGrid>
      <w:tr>
        <w:tc>
          <w:tcPr>
            <w:tcW w:type="dxa" w:w="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60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gets you</w:t>
            </w:r>
          </w:p>
        </w:tc>
      </w:tr>
      <w:tr>
        <w:tc>
          <w:tcPr>
            <w:tcW w:type="dxa" w:w="520"/>
            <w:tcBorders>
              <w:top w:val="single" w:color="CCCCCC" w:sz="4"/>
              <w:left w:val="single" w:color="CCCCCC" w:sz="4"/>
              <w:bottom w:val="single" w:color="CCCCCC" w:sz="4"/>
              <w:right w:val="single" w:color="CCCCCC" w:sz="4"/>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#1 — BEST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Introduction to OpenNyAI technical core maintainers</w:t>
            </w:r>
          </w:p>
        </w:tc>
        <w:tc>
          <w:tcPr>
            <w:tcW w:type="dxa" w:w="6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Potential DPG collaboration: Legal-TechAI's contradiction engine as the application layer above OpenNyAI's Legal NER. Massive ecosystem legitimacy. OpenNyAI is funded and supported by Agami — this is the infrastructure play.</w:t>
            </w:r>
          </w:p>
        </w:tc>
      </w:tr>
      <w:tr>
        <w:tc>
          <w:tcPr>
            <w:tcW w:type="dxa" w:w="520"/>
            <w:tcBorders>
              <w:top w:val="single" w:color="CCCCCC" w:sz="4"/>
              <w:left w:val="single" w:color="CCCCCC" w:sz="4"/>
              <w:bottom w:val="single" w:color="CCCCCC" w:sz="4"/>
              <w:right w:val="single" w:color="CCCCCC" w:sz="4"/>
            </w:tcBorders>
            <w:shd w:fill="2E74B5" w:val="clear"/>
            <w:tcMar>
              <w:top w:type="dxa" w:w="80"/>
              <w:left w:type="dxa" w:w="120"/>
              <w:bottom w:type="dxa" w:w="80"/>
              <w:right w:type="dxa" w:w="120"/>
            </w:tcMar>
          </w:tcPr>
          <w:p>
            <w:r>
              <w:rPr>
                <w:rFonts w:ascii="Arial" w:cs="Arial" w:eastAsia="Arial" w:hAnsi="Arial"/>
                <w:b/>
                <w:bCs/>
                <w:color w:val="FFFFFF"/>
                <w:sz w:val="22"/>
                <w:szCs w:val="22"/>
              </w:rPr>
              <w:t xml:space="preserve">#2 — GOOD</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Agami Prize application review / feedback cycle</w:t>
            </w:r>
          </w:p>
        </w:tc>
        <w:tc>
          <w:tcPr>
            <w:tcW w:type="dxa" w:w="6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Sachin agrees to look at your application before you submit. This is effectively an unofficial screening. Founders who get this almost always get shortlisted. The prize is Rs. 5L (Idea) / Rs. 10L (Shamnad Basheer) — but the network is worth 100x that.</w:t>
            </w:r>
          </w:p>
        </w:tc>
      </w:tr>
      <w:tr>
        <w:tc>
          <w:tcPr>
            <w:tcW w:type="dxa" w:w="520"/>
            <w:tcBorders>
              <w:top w:val="single" w:color="CCCCCC" w:sz="4"/>
              <w:left w:val="single" w:color="CCCCCC" w:sz="4"/>
              <w:bottom w:val="single" w:color="CCCCCC" w:sz="4"/>
              <w:right w:val="single" w:color="CCCCCC" w:sz="4"/>
            </w:tcBorders>
            <w:shd w:fill="BF6000" w:val="clear"/>
            <w:tcMar>
              <w:top w:type="dxa" w:w="80"/>
              <w:left w:type="dxa" w:w="120"/>
              <w:bottom w:type="dxa" w:w="80"/>
              <w:right w:type="dxa" w:w="120"/>
            </w:tcMar>
          </w:tcPr>
          <w:p>
            <w:r>
              <w:rPr>
                <w:rFonts w:ascii="Arial" w:cs="Arial" w:eastAsia="Arial" w:hAnsi="Arial"/>
                <w:b/>
                <w:bCs/>
                <w:color w:val="FFFFFF"/>
                <w:sz w:val="22"/>
                <w:szCs w:val="22"/>
              </w:rPr>
              <w:t xml:space="preserve">#3 — ACCEPTABLE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2–3 specific warm introductions to Agami network members</w:t>
            </w:r>
          </w:p>
        </w:tc>
        <w:tc>
          <w:tcPr>
            <w:tcW w:type="dxa" w:w="6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He connects you to 2022 shortlisted founders (Provakil, Credgenics, or access-to-justice orgs like Nyaaya) who have already navigated the legal ecosystem adoption game. Learning from their path saves you 6 months.</w:t>
            </w:r>
          </w:p>
        </w:tc>
      </w:tr>
    </w:tbl>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20" w:before="40"/>
              <w:jc w:val="center"/>
            </w:pPr>
            <w:r>
              <w:rPr>
                <w:rFonts w:ascii="Arial" w:cs="Arial" w:eastAsia="Arial" w:hAnsi="Arial"/>
                <w:b/>
                <w:bCs/>
                <w:color w:val="1F3864"/>
                <w:sz w:val="24"/>
                <w:szCs w:val="24"/>
              </w:rPr>
              <w:t xml:space="preserve">THE MINDSET GOING IN</w:t>
            </w:r>
          </w:p>
          <w:p>
            <w:pPr>
              <w:spacing w:after="20" w:before="0"/>
            </w:pPr>
            <w:r>
              <w:rPr>
                <w:rFonts w:ascii="Arial" w:cs="Arial" w:eastAsia="Arial" w:hAnsi="Arial"/>
                <w:sz w:val="22"/>
                <w:szCs w:val="22"/>
              </w:rPr>
              <w:t xml:space="preserve">Sachin has spent 8 years building an ecosystem for justice innovation. He is not looking for another legal AI product to advise. He is looking for a founder who understands where they fit in the larger architecture of change — and who can tell him something he doesn't already know.</w:t>
            </w:r>
          </w:p>
          <w:p>
            <w:pPr>
              <w:spacing w:after="40" w:before="0"/>
            </w:pPr>
            <w:r>
              <w:rPr>
                <w:rFonts w:ascii="Arial" w:cs="Arial" w:eastAsia="Arial" w:hAnsi="Arial"/>
                <w:b/>
                <w:bCs/>
                <w:color w:val="1F3864"/>
                <w:sz w:val="22"/>
                <w:szCs w:val="22"/>
              </w:rPr>
              <w:t xml:space="preserve">The one thing he doesn't know: that deterministic physical impossibility reasoning — arithmetic-based, not AI-based — has never been applied to Indian criminal evidence in a live, grounded product. That's your sentence. Use it once, clearly, and let him sit with it.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Do not share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jc w:val="right"/>
    </w:pPr>
    <w:r>
      <w:rPr>
        <w:rFonts w:ascii="Arial" w:cs="Arial" w:eastAsia="Arial" w:hAnsi="Arial"/>
        <w:color w:val="888888"/>
        <w:sz w:val="18"/>
        <w:szCs w:val="18"/>
      </w:rPr>
      <w:t xml:space="preserve">SACHIN MALHAN MEETING PREP  |  CONFIDENTIAL  |  Legal-TechAI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E74B5"/>
      <w:sz w:val="23"/>
      <w:szCs w:val="23"/>
    </w:rPr>
  </w:style>
  <w:style w:type="paragraph" w:styleId="Heading3">
    <w:name w:val="Heading 3"/>
    <w:basedOn w:val="Normal"/>
    <w:next w:val="Normal"/>
    <w:qFormat/>
    <w:pPr>
      <w:spacing w:after="6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2026-06-16T06:18:17.448Z</dcterms:created>
  <dcterms:modified xsi:type="dcterms:W3CDTF">2026-06-16T06:18:17.450Z</dcterms:modified>
</cp:coreProperties>
</file>

<file path=docProps/custom.xml><?xml version="1.0" encoding="utf-8"?>
<Properties xmlns="http://schemas.openxmlformats.org/officeDocument/2006/custom-properties" xmlns:vt="http://schemas.openxmlformats.org/officeDocument/2006/docPropsVTypes"/>
</file>