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FULL-STACK SYSTEM IMPLEMENTATION AND DEVELOPMENT EXPLANATION</w:t>
      </w:r>
    </w:p>
    <w:p>
      <w:pPr>
        <w:spacing w:line="360" w:lineRule="auto" w:after="240"/>
      </w:pPr>
      <w:r>
        <w:rPr>
          <w:i/>
        </w:rPr>
        <w:t xml:space="preserve">This section delivers an exhaustive project report detailing the full-stack code implementation, runtime development workflows, and system architecture explanation optimized for the platform, as cataloged in the issue canvas panel </w:t>
      </w:r>
      <w:r>
        <w:rPr>
          <w:b/>
        </w:rPr>
        <w:t>image_481397.png</w:t>
      </w:r>
      <w:r>
        <w:t>. In production-grade software engineering, documenting the continuous interaction between presentation layers, data transformation conduits, middleware filters, and cloud storage providers is essential to provide full architectural transparency, ensure data validation trace limits, and maintain structural system resilience across concurrent user trading sessions.</w:t>
      </w:r>
    </w:p>
    <w:p>
      <w:pPr>
        <w:pStyle w:val="Heading2"/>
        <w:keepNext/>
        <w:spacing w:before="320" w:after="120"/>
      </w:pPr>
      <w:r>
        <w:rPr>
          <w:rFonts w:ascii="Arial" w:hAnsi="Arial"/>
          <w:b/>
          <w:color w:val="4A777A"/>
          <w:sz w:val="26"/>
        </w:rPr>
        <w:t>1.1 Schematic Full-Stack End-to-End Data Pipeline</w:t>
      </w:r>
    </w:p>
    <w:p>
      <w:pPr>
        <w:spacing w:line="360" w:lineRule="auto"/>
      </w:pPr>
      <w:r>
        <w:t>The data processing sequences, application modules, and client-server decoupling layers that govern the execution flow of the trading application have been organized into a technical ASCII blueprint map below. This diagram details the end-to-end communication pipeline spanning frontend UI layouts and backend database controllers:</w:t>
      </w:r>
    </w:p>
    <w:p>
      <w:pPr>
        <w:spacing w:before="120" w:after="120"/>
        <w:jc w:val="center"/>
      </w:pPr>
      <w:r>
        <w:rPr>
          <w:rFonts w:ascii="Courier New" w:hAnsi="Courier New"/>
          <w:b/>
          <w:color w:val="1B365D"/>
          <w:sz w:val="17"/>
        </w:rPr>
        <w:t>=========================================================================================</w:t>
        <w:br/>
        <w:t xml:space="preserve">                                 FULL-STACK SYSTEM DATA PIPELINE TOPOLOGY                </w:t>
        <w:br/>
        <w:t>=========================================================================================</w:t>
        <w:br/>
        <w:t xml:space="preserve">                                                                                         </w:t>
        <w:br/>
        <w:t xml:space="preserve">    [ FRONTEND CLIENT VIEW LAYER ]                                                       </w:t>
        <w:br/>
        <w:t xml:space="preserve">         React 19 Framework | Tailwind CSS | ShadCN UI Framework Component Modules        </w:t>
        <w:br/>
        <w:t xml:space="preserve">                       |                                                                 </w:t>
        <w:br/>
        <w:t xml:space="preserve">                       v                                                                 </w:t>
        <w:br/>
        <w:t xml:space="preserve">    [ ASYNCHRONOUS DATA CONDUIT LAYER ]                                                  </w:t>
        <w:br/>
        <w:t xml:space="preserve">         Axios HTTP Promises Client =====( Transmits JSON Request Payloads )==========+  </w:t>
        <w:br/>
        <w:t xml:space="preserve">                       |                                                              |  </w:t>
        <w:br/>
        <w:t xml:space="preserve">                       v                                                              v  </w:t>
        <w:br/>
        <w:t xml:space="preserve">    [ BACKEND RUNTIME APPLICATION SERVER ]                                   [ ROUTING INTERCEPTORS ]</w:t>
        <w:br/>
        <w:t xml:space="preserve">         Node.js Process Runtime Environment | Express.js Web Engine           (REST API Path Matching)</w:t>
        <w:br/>
        <w:t xml:space="preserve">                       |                                                              |  </w:t>
        <w:br/>
        <w:t xml:space="preserve">                       v                                                              v  </w:t>
        <w:br/>
        <w:t xml:space="preserve">    [ BUSINESS CONTROL PIPELINE ]                                            [ SECURITY MIDDLEWARE ] </w:t>
        <w:br/>
        <w:t xml:space="preserve">         Application Business Rule Controllers (Wallet / Trade Engines)       (JWT / Token Validations)</w:t>
        <w:br/>
        <w:t xml:space="preserve">                       |                                                              |  </w:t>
        <w:br/>
        <w:t xml:space="preserve">                       v                                                              |  </w:t>
        <w:br/>
        <w:t xml:space="preserve">    [ CLOUD STORAGE AND PERSISTENCE LAYER ] &lt;=========================================+  </w:t>
        <w:br/>
        <w:t xml:space="preserve">         Mongoose Object-Data Modeling (ODM) ===&gt; MongoDB Atlas Distributed Database Clusters</w:t>
        <w:br/>
        <w:t xml:space="preserve">                                                                                         </w:t>
        <w:br/>
        <w:t>=========================================================================================</w:t>
        <w:br/>
        <w:t xml:space="preserve">                             FIGURE 1.1: End-to-End MERN Stack Architecture Pipeline     </w:t>
        <w:br/>
        <w:t>=========================================================================================</w:t>
      </w:r>
    </w:p>
    <w:p>
      <w:pPr>
        <w:jc w:val="center"/>
      </w:pPr>
      <w:r>
        <w:rPr>
          <w:i/>
        </w:rPr>
        <w:t>[Insert Development and Full-Stack Implementation Canvas Screenshot - End-to-End System Integration Architecture]</w:t>
      </w:r>
    </w:p>
    <w:p>
      <w:r>
        <w:br w:type="page"/>
      </w:r>
    </w:p>
    <w:p>
      <w:pPr>
        <w:pStyle w:val="Heading2"/>
        <w:keepNext/>
        <w:spacing w:before="320" w:after="120"/>
      </w:pPr>
      <w:r>
        <w:rPr>
          <w:rFonts w:ascii="Arial" w:hAnsi="Arial"/>
          <w:b/>
          <w:color w:val="4A777A"/>
          <w:sz w:val="26"/>
        </w:rPr>
        <w:t>1.2 Detailed Breakdown of Full-Stack Architecture Tiers</w:t>
      </w:r>
    </w:p>
    <w:p>
      <w:r>
        <w:t>The application execution framework separates interface logic, data routing controls, and cloud persistence hooks into five highly integrated operational layers:</w:t>
      </w:r>
    </w:p>
    <w:p>
      <w:pPr>
        <w:spacing w:line="360" w:lineRule="auto"/>
        <w:ind w:left="360"/>
      </w:pPr>
      <w:r>
        <w:rPr>
          <w:b/>
        </w:rPr>
        <w:t xml:space="preserve">1. Frontend Client View Layer (React): </w:t>
      </w:r>
      <w:r>
        <w:t>The presentation layer built using React framework structures. This system leverages declarative component mapping to render real-time dashboard grids, search inputs, stock ticker tickers, and wallet information components dynamically, optimizing virtual DOM reconciliations to present rapid visual style adjustments.</w:t>
      </w:r>
    </w:p>
    <w:p>
      <w:pPr>
        <w:spacing w:line="360" w:lineRule="auto"/>
        <w:ind w:left="360"/>
      </w:pPr>
      <w:r>
        <w:rPr>
          <w:b/>
        </w:rPr>
        <w:t xml:space="preserve">2. Asynchronous Data Conduit Layer (Axios): </w:t>
      </w:r>
      <w:r>
        <w:t>Acts as the standalone communication link bridging frontend browser views and backend processing nodes. By handling network requests as asynchronous HTTP promises, this module safely transports structured JSON request payloads and captures server confirmations without blocking client interface performance.</w:t>
      </w:r>
    </w:p>
    <w:p>
      <w:pPr>
        <w:spacing w:line="360" w:lineRule="auto"/>
        <w:ind w:left="360"/>
      </w:pPr>
      <w:r>
        <w:rPr>
          <w:b/>
        </w:rPr>
        <w:t xml:space="preserve">3. Backend Process Runtime Environment (Node.js &amp; Express): </w:t>
      </w:r>
      <w:r>
        <w:t>The core server infrastructure tier that processes API traffic. It runs a lightweight event loop to parse route parameters, intercepts incoming requests, attaches security filters, and coordinates the execution of business logic across independent controller modules.</w:t>
      </w:r>
    </w:p>
    <w:p>
      <w:pPr>
        <w:spacing w:line="360" w:lineRule="auto"/>
        <w:ind w:left="360"/>
      </w:pPr>
      <w:r>
        <w:rPr>
          <w:b/>
        </w:rPr>
        <w:t xml:space="preserve">4. Application Business Rule Controllers Layer: </w:t>
      </w:r>
      <w:r>
        <w:t>The central logic core where system rules are evaluated. It extracts transaction quantities, validates order values against wallet cash pools, runs real-time average acquisition price math routines, and generates standardized data structures before modifying permanent collections.</w:t>
      </w:r>
    </w:p>
    <w:p>
      <w:pPr>
        <w:spacing w:line="360" w:lineRule="auto"/>
        <w:ind w:left="360"/>
      </w:pPr>
      <w:r>
        <w:rPr>
          <w:b/>
        </w:rPr>
        <w:t xml:space="preserve">5. Cloud Storage and Data Persistence Layer (MongoDB Atlas &amp; Mongoose): </w:t>
      </w:r>
      <w:r>
        <w:t>The data management foundation hosted within distributed cloud database environments. Mongoose maps application schemas into JSON-like BSON formats, enforcing data validation constraints and managing multi-user record modifications securely within the MongoDB cluster containers.</w:t>
      </w:r>
    </w:p>
    <w:p>
      <w:pPr>
        <w:pStyle w:val="Heading2"/>
        <w:keepNext/>
        <w:spacing w:before="320" w:after="120"/>
      </w:pPr>
      <w:r>
        <w:rPr>
          <w:rFonts w:ascii="Arial" w:hAnsi="Arial"/>
          <w:b/>
          <w:color w:val="4A777A"/>
          <w:sz w:val="26"/>
        </w:rPr>
        <w:t>1.3 Technical Full-Stack Pipeline Reference Specifications</w:t>
      </w:r>
    </w:p>
    <w:p>
      <w:pPr>
        <w:spacing w:line="360" w:lineRule="auto"/>
      </w:pPr>
      <w:r>
        <w:t>To clarify code responsibilities, processing boundaries, and technology linkages across the deployment stack, the full-stack architectural parameters have been detailed in the technical summary reference table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Architecture Layer Node</w:t>
            </w:r>
          </w:p>
        </w:tc>
        <w:tc>
          <w:tcPr>
            <w:tcW w:type="dxa" w:w="3120"/>
            <w:shd w:fill="1B365D"/>
          </w:tcPr>
          <w:p>
            <w:r>
              <w:rPr>
                <w:b/>
                <w:color w:val="FFFFFF"/>
              </w:rPr>
              <w:t>Target Technology Stack Mapping</w:t>
            </w:r>
          </w:p>
        </w:tc>
        <w:tc>
          <w:tcPr>
            <w:tcW w:type="dxa" w:w="3120"/>
            <w:shd w:fill="1B365D"/>
          </w:tcPr>
          <w:p>
            <w:r>
              <w:rPr>
                <w:b/>
                <w:color w:val="FFFFFF"/>
              </w:rPr>
              <w:t>Core Structural Scope &amp; Runtime Accountability</w:t>
            </w:r>
          </w:p>
        </w:tc>
      </w:tr>
      <w:tr>
        <w:tc>
          <w:tcPr>
            <w:tcW w:type="dxa" w:w="3120"/>
            <w:tcMar>
              <w:top w:w="120" w:type="dxa"/>
              <w:bottom w:w="120" w:type="dxa"/>
              <w:left w:w="140" w:type="dxa"/>
              <w:right w:w="140" w:type="dxa"/>
            </w:tcMar>
          </w:tcPr>
          <w:p>
            <w:r>
              <w:t>1. Frontend Views</w:t>
            </w:r>
          </w:p>
        </w:tc>
        <w:tc>
          <w:tcPr>
            <w:tcW w:type="dxa" w:w="3120"/>
            <w:tcMar>
              <w:top w:w="120" w:type="dxa"/>
              <w:bottom w:w="120" w:type="dxa"/>
              <w:left w:w="140" w:type="dxa"/>
              <w:right w:w="140" w:type="dxa"/>
            </w:tcMar>
          </w:tcPr>
          <w:p>
            <w:r>
              <w:t>React, Tailwind CSS, ShadCN UI Blocks</w:t>
            </w:r>
          </w:p>
        </w:tc>
        <w:tc>
          <w:tcPr>
            <w:tcW w:type="dxa" w:w="3120"/>
            <w:tcMar>
              <w:top w:w="120" w:type="dxa"/>
              <w:bottom w:w="120" w:type="dxa"/>
              <w:left w:w="140" w:type="dxa"/>
              <w:right w:w="140" w:type="dxa"/>
            </w:tcMar>
          </w:tcPr>
          <w:p>
            <w:r>
              <w:t>Renders highly responsive client-side layout grids; processes local search parameters; manages browser view state transitions dynamically.</w:t>
            </w:r>
          </w:p>
        </w:tc>
      </w:tr>
      <w:tr>
        <w:tc>
          <w:tcPr>
            <w:tcW w:type="dxa" w:w="3120"/>
            <w:tcMar>
              <w:top w:w="120" w:type="dxa"/>
              <w:bottom w:w="120" w:type="dxa"/>
              <w:left w:w="140" w:type="dxa"/>
              <w:right w:w="140" w:type="dxa"/>
            </w:tcMar>
            <w:shd w:fill="F5F7FA"/>
          </w:tcPr>
          <w:p>
            <w:r>
              <w:t>2. Network Conduit</w:t>
            </w:r>
          </w:p>
        </w:tc>
        <w:tc>
          <w:tcPr>
            <w:tcW w:type="dxa" w:w="3120"/>
            <w:tcMar>
              <w:top w:w="120" w:type="dxa"/>
              <w:bottom w:w="120" w:type="dxa"/>
              <w:left w:w="140" w:type="dxa"/>
              <w:right w:w="140" w:type="dxa"/>
            </w:tcMar>
            <w:shd w:fill="F5F7FA"/>
          </w:tcPr>
          <w:p>
            <w:r>
              <w:t>Axios HTTP Asynchronous Promises Client</w:t>
            </w:r>
          </w:p>
        </w:tc>
        <w:tc>
          <w:tcPr>
            <w:tcW w:type="dxa" w:w="3120"/>
            <w:tcMar>
              <w:top w:w="120" w:type="dxa"/>
              <w:bottom w:w="120" w:type="dxa"/>
              <w:left w:w="140" w:type="dxa"/>
              <w:right w:w="140" w:type="dxa"/>
            </w:tcMar>
            <w:shd w:fill="F5F7FA"/>
          </w:tcPr>
          <w:p>
            <w:r>
              <w:t>Serializes data objects into JSON payloads; manages HTTP request headers; routes application response states safely across the wire.</w:t>
            </w:r>
          </w:p>
        </w:tc>
      </w:tr>
      <w:tr>
        <w:tc>
          <w:tcPr>
            <w:tcW w:type="dxa" w:w="3120"/>
            <w:tcMar>
              <w:top w:w="120" w:type="dxa"/>
              <w:bottom w:w="120" w:type="dxa"/>
              <w:left w:w="140" w:type="dxa"/>
              <w:right w:w="140" w:type="dxa"/>
            </w:tcMar>
          </w:tcPr>
          <w:p>
            <w:r>
              <w:t>3. Application Server</w:t>
            </w:r>
          </w:p>
        </w:tc>
        <w:tc>
          <w:tcPr>
            <w:tcW w:type="dxa" w:w="3120"/>
            <w:tcMar>
              <w:top w:w="120" w:type="dxa"/>
              <w:bottom w:w="120" w:type="dxa"/>
              <w:left w:w="140" w:type="dxa"/>
              <w:right w:w="140" w:type="dxa"/>
            </w:tcMar>
          </w:tcPr>
          <w:p>
            <w:r>
              <w:t>Node.js Runtime Environment, Express.js Engine</w:t>
            </w:r>
          </w:p>
        </w:tc>
        <w:tc>
          <w:tcPr>
            <w:tcW w:type="dxa" w:w="3120"/>
            <w:tcMar>
              <w:top w:w="120" w:type="dxa"/>
              <w:bottom w:w="120" w:type="dxa"/>
              <w:left w:w="140" w:type="dxa"/>
              <w:right w:w="140" w:type="dxa"/>
            </w:tcMar>
          </w:tcPr>
          <w:p>
            <w:r>
              <w:t>Manages active network endpoints; executes route matching paths; provides server scaling capabilities to process incoming client traffic.</w:t>
            </w:r>
          </w:p>
        </w:tc>
      </w:tr>
      <w:tr>
        <w:tc>
          <w:tcPr>
            <w:tcW w:type="dxa" w:w="3120"/>
            <w:tcMar>
              <w:top w:w="120" w:type="dxa"/>
              <w:bottom w:w="120" w:type="dxa"/>
              <w:left w:w="140" w:type="dxa"/>
              <w:right w:w="140" w:type="dxa"/>
            </w:tcMar>
            <w:shd w:fill="F5F7FA"/>
          </w:tcPr>
          <w:p>
            <w:r>
              <w:t>4. Business Control</w:t>
            </w:r>
          </w:p>
        </w:tc>
        <w:tc>
          <w:tcPr>
            <w:tcW w:type="dxa" w:w="3120"/>
            <w:tcMar>
              <w:top w:w="120" w:type="dxa"/>
              <w:bottom w:w="120" w:type="dxa"/>
              <w:left w:w="140" w:type="dxa"/>
              <w:right w:w="140" w:type="dxa"/>
            </w:tcMar>
            <w:shd w:fill="F5F7FA"/>
          </w:tcPr>
          <w:p>
            <w:r>
              <w:t>Custom JavaScript Logic Controllers &amp; Middleware</w:t>
            </w:r>
          </w:p>
        </w:tc>
        <w:tc>
          <w:tcPr>
            <w:tcW w:type="dxa" w:w="3120"/>
            <w:tcMar>
              <w:top w:w="120" w:type="dxa"/>
              <w:bottom w:w="120" w:type="dxa"/>
              <w:left w:w="140" w:type="dxa"/>
              <w:right w:w="140" w:type="dxa"/>
            </w:tcMar>
            <w:shd w:fill="F5F7FA"/>
          </w:tcPr>
          <w:p>
            <w:r>
              <w:t>Validates transaction parameters; enforces user security and asset rules; calculates capital balances and transaction weights.</w:t>
            </w:r>
          </w:p>
        </w:tc>
      </w:tr>
      <w:tr>
        <w:tc>
          <w:tcPr>
            <w:tcW w:type="dxa" w:w="3120"/>
            <w:tcMar>
              <w:top w:w="120" w:type="dxa"/>
              <w:bottom w:w="120" w:type="dxa"/>
              <w:left w:w="140" w:type="dxa"/>
              <w:right w:w="140" w:type="dxa"/>
            </w:tcMar>
          </w:tcPr>
          <w:p>
            <w:r>
              <w:t>5. Cloud Persistence</w:t>
            </w:r>
          </w:p>
        </w:tc>
        <w:tc>
          <w:tcPr>
            <w:tcW w:type="dxa" w:w="3120"/>
            <w:tcMar>
              <w:top w:w="120" w:type="dxa"/>
              <w:bottom w:w="120" w:type="dxa"/>
              <w:left w:w="140" w:type="dxa"/>
              <w:right w:w="140" w:type="dxa"/>
            </w:tcMar>
          </w:tcPr>
          <w:p>
            <w:r>
              <w:t>MongoDB Atlas, Mongoose Document Schemas</w:t>
            </w:r>
          </w:p>
        </w:tc>
        <w:tc>
          <w:tcPr>
            <w:tcW w:type="dxa" w:w="3120"/>
            <w:tcMar>
              <w:top w:w="120" w:type="dxa"/>
              <w:bottom w:w="120" w:type="dxa"/>
              <w:left w:w="140" w:type="dxa"/>
              <w:right w:w="140" w:type="dxa"/>
            </w:tcMar>
          </w:tcPr>
          <w:p>
            <w:r>
              <w:t>Enforces strict database property types; maps BSON objects; runs persistent storage operations inside cloud-managed environments.</w:t>
            </w:r>
          </w:p>
        </w:tc>
      </w:tr>
    </w:tbl>
    <w:p>
      <w:pPr>
        <w:jc w:val="center"/>
      </w:pPr>
      <w:r>
        <w:rPr>
          <w:i/>
          <w:sz w:val="20"/>
        </w:rPr>
        <w:t>Table 1.1: Full-Stack MERN Architecture Tier Interconnection Map</w:t>
      </w:r>
    </w:p>
    <w:p>
      <w:r>
        <w:br w:type="page"/>
      </w:r>
    </w:p>
    <w:p>
      <w:pPr>
        <w:pStyle w:val="Heading2"/>
        <w:keepNext/>
        <w:spacing w:before="320" w:after="120"/>
      </w:pPr>
      <w:r>
        <w:rPr>
          <w:rFonts w:ascii="Arial" w:hAnsi="Arial"/>
          <w:b/>
          <w:color w:val="4A777A"/>
          <w:sz w:val="26"/>
        </w:rPr>
        <w:t>1.4 Real-World End-to-End Data Execution Lifecycle</w:t>
      </w:r>
    </w:p>
    <w:p>
      <w:pPr>
        <w:spacing w:line="360" w:lineRule="auto"/>
      </w:pPr>
      <w:r>
        <w:t>The application architecture manages the full life cycle of data transmission across all levels. When a trader submits a buy or sell request through a component view in the React tier, the action creates an asynchronous Axios command across the network layer. The payload travels securely as a serialized JSON object, hitting the server's backend gateway, where the Express engine routes it to the designated endpoints. Before reaching the main business controllers, custom middleware filters intercept the request, confirming the validity of the attached token to block unauthorized traffic.</w:t>
        <w:br/>
        <w:br/>
        <w:t>Once verified, the transaction controller extracts the request parameters and runs validation routines to confirm that the user's available cash satisfies the estimated order costs. After validating these parameters, the controller invokes Mongoose model methods to update the document collections. The model converts these commands into native BSON queries and commits updates directly to the MongoDB Atlas cluster containers. When the write operation returns a successful status, the controller packages the results into a standardized response payload, sending it back to the client interface to trigger an immediate, seamless UI update without forcing a full page refresh.</w:t>
      </w:r>
    </w:p>
    <w:p>
      <w:pPr>
        <w:pStyle w:val="Heading2"/>
        <w:keepNext/>
        <w:spacing w:before="320" w:after="120"/>
      </w:pPr>
      <w:r>
        <w:rPr>
          <w:rFonts w:ascii="Arial" w:hAnsi="Arial"/>
          <w:b/>
          <w:color w:val="4A777A"/>
          <w:sz w:val="26"/>
        </w:rPr>
        <w:t>1.5 Code Modularization and System Scalability Advantages</w:t>
      </w:r>
    </w:p>
    <w:p>
      <w:pPr>
        <w:spacing w:line="360" w:lineRule="auto"/>
      </w:pPr>
      <w:r>
        <w:t>Structuring the code into clear architecture tiers provides significant benefits for system maintainability and development velocity. Because presentation modules are decoupled from data schemas, front-end engineers can alter design elements or integrate alternative charting components without touching server logic or introducing database regression risks. This separation allows the interface layer to evolve completely independently.</w:t>
        <w:br/>
        <w:br/>
        <w:t>Likewise, optimizing business logic, adjusting connection pooling limits, or shifting from mock data layers to live streaming tickers can be managed entirely within the controller and model tiers. This structural design minimizes side-effects during platform updates, simplifies debugging loops, and enables developers to write clean, isolated tests for individual full-stack layers. This ensures the virtual trading simulator remains highly secure, stable, and maintainable over its production lifespan.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