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pPr>
      <w:r>
        <w:rPr>
          <w:rFonts w:ascii="Arial" w:hAnsi="Arial"/>
          <w:b/>
          <w:color w:val="1B365D"/>
          <w:sz w:val="32"/>
        </w:rPr>
        <w:t>1. MONGODB ATLAS CLOUD CONFIGURATION AND DATABASE INTEGRATION</w:t>
      </w:r>
    </w:p>
    <w:p>
      <w:pPr>
        <w:spacing w:line="360" w:lineRule="auto" w:after="240"/>
      </w:pPr>
      <w:r>
        <w:rPr>
          <w:i/>
        </w:rPr>
        <w:t xml:space="preserve">This section delivers an exhaustive project specification detailing the cloud database configuration, cluster parameter tuning, and connection pooling rules implemented to anchor data persistence layers, as cataloged in the engineering milestone tracking panel </w:t>
      </w:r>
      <w:r>
        <w:rPr>
          <w:b/>
        </w:rPr>
        <w:t>image_4822dc.png</w:t>
      </w:r>
      <w:r>
        <w:t>. In production software architectures running high-concurrency market simulations, establishing a secure database infrastructure is paramount to isolate transactional profiles, maintain strict replication sets, avoid write execution drops, and optimize response speeds through cloud clustering patterns.</w:t>
      </w:r>
    </w:p>
    <w:p>
      <w:pPr>
        <w:pStyle w:val="Heading2"/>
        <w:keepNext/>
        <w:spacing w:before="320" w:after="120"/>
      </w:pPr>
      <w:r>
        <w:rPr>
          <w:rFonts w:ascii="Arial" w:hAnsi="Arial"/>
          <w:b/>
          <w:color w:val="4A777A"/>
          <w:sz w:val="26"/>
        </w:rPr>
        <w:t>1.1 Schematic Distributed Database Cloud Topology Blueprint</w:t>
      </w:r>
    </w:p>
    <w:p>
      <w:pPr>
        <w:spacing w:line="360" w:lineRule="auto"/>
      </w:pPr>
      <w:r>
        <w:t>The network orchestration pipelines, replica set mirroring paths, and driver validation check steps that enable communication with the persistent document storage cluster have been mapped into a technical ASCII blueprint flowchart below. This diagram details the end-to-end handshake flow from application drivers down to the data sharding containers:</w:t>
      </w:r>
    </w:p>
    <w:p>
      <w:pPr>
        <w:spacing w:before="120" w:after="120"/>
        <w:jc w:val="center"/>
      </w:pPr>
      <w:r>
        <w:rPr>
          <w:rFonts w:ascii="Courier New" w:hAnsi="Courier New"/>
          <w:b/>
          <w:color w:val="1B365D"/>
          <w:sz w:val="17"/>
        </w:rPr>
        <w:t>=========================================================================================</w:t>
        <w:br/>
        <w:t xml:space="preserve">                                 MONGODB ATLAS DISTRIBUTED CLUSTER INFRASTRUCTURE        </w:t>
        <w:br/>
        <w:t>=========================================================================================</w:t>
        <w:br/>
        <w:t xml:space="preserve">                                                                                         </w:t>
        <w:br/>
        <w:t xml:space="preserve">    [ NODE.JS APP DRIVER LAYER ] =====( Appends URI Connection String )==============+  </w:t>
        <w:br/>
        <w:t xml:space="preserve">                       |                                                              |  </w:t>
        <w:br/>
        <w:t xml:space="preserve">                       v                                                              v  </w:t>
        <w:br/>
        <w:t xml:space="preserve">         [ SECURITY ACCESS GATEWAY ]                                         [ CONNECTION POOLER ]</w:t>
        <w:br/>
        <w:t xml:space="preserve">          (IP Whitelisting / IAM Controls)                                    (Keep-Alive Strategy)</w:t>
        <w:br/>
        <w:t xml:space="preserve">                       |                                                              |  </w:t>
        <w:br/>
        <w:t xml:space="preserve">                       v                                                              v  </w:t>
        <w:br/>
        <w:t xml:space="preserve">         [ MONGODB ATLAS SHARED ROUTER ]                                     [ WRITE LEDGER OPR ] </w:t>
        <w:br/>
        <w:t xml:space="preserve">                       |                                                       (Atomic Execution) </w:t>
        <w:br/>
        <w:t xml:space="preserve">                       v                                                              |  </w:t>
        <w:br/>
        <w:t xml:space="preserve">         [ DISTRIBUTED CLUSTER DATA NODE CONTAINERS ] &lt;================================+  </w:t>
        <w:br/>
        <w:t xml:space="preserve">          (Primary Instance Container &lt;---&gt; Mirror Replica Set Sync Node Links)          </w:t>
        <w:br/>
        <w:t xml:space="preserve">                                                                                         </w:t>
        <w:br/>
        <w:t>=========================================================================================</w:t>
        <w:br/>
        <w:t xml:space="preserve">                             FIGURE 1.1: Distributed Persistence Handshake Lifecycle      </w:t>
        <w:br/>
        <w:t>=========================================================================================</w:t>
      </w:r>
    </w:p>
    <w:p>
      <w:pPr>
        <w:jc w:val="center"/>
      </w:pPr>
      <w:r>
        <w:rPr>
          <w:i/>
        </w:rPr>
        <w:t>[Insert MongoDB Atlas Cluster Configuration Screenshot - Cloud Container Clusters and Mirror Set Metrics]</w:t>
      </w:r>
    </w:p>
    <w:p>
      <w:r>
        <w:br w:type="page"/>
      </w:r>
    </w:p>
    <w:p>
      <w:pPr>
        <w:pStyle w:val="Heading2"/>
        <w:keepNext/>
        <w:spacing w:before="320" w:after="120"/>
      </w:pPr>
      <w:r>
        <w:rPr>
          <w:rFonts w:ascii="Arial" w:hAnsi="Arial"/>
          <w:b/>
          <w:color w:val="4A777A"/>
          <w:sz w:val="26"/>
        </w:rPr>
        <w:t>1.2 Granular Analysis of MongoDB Atlas Setup Modules</w:t>
      </w:r>
    </w:p>
    <w:p>
      <w:r>
        <w:t>The cloud data setup coordinates storage clusters and connection safety measures across five distinct initialization areas:</w:t>
      </w:r>
    </w:p>
    <w:p>
      <w:pPr>
        <w:spacing w:line="360" w:lineRule="auto"/>
        <w:ind w:left="360"/>
      </w:pPr>
      <w:r>
        <w:rPr>
          <w:b/>
        </w:rPr>
        <w:t xml:space="preserve">1. Cloud Project Provisioning and Shared Cluster Scaffolding: </w:t>
      </w:r>
      <w:r>
        <w:t>Sets up the virtual database project structure on managed cloud server networks. This model handles cloud resource configuration, setting up shared memory allocations and picking deployment zones to reduce latency between application drivers and persistent document stores.</w:t>
      </w:r>
    </w:p>
    <w:p>
      <w:pPr>
        <w:spacing w:line="360" w:lineRule="auto"/>
        <w:ind w:left="360"/>
      </w:pPr>
      <w:r>
        <w:rPr>
          <w:b/>
        </w:rPr>
        <w:t xml:space="preserve">2. Identity Access Controls and Database Role Isolation: </w:t>
      </w:r>
      <w:r>
        <w:t>Enforces strict data access rules by isolating administrative profiles from app execution roles. This layer creates secure username/password keys and limits database access to specific application processes, preventing unauthorized modifications to document fields.</w:t>
      </w:r>
    </w:p>
    <w:p>
      <w:pPr>
        <w:spacing w:line="360" w:lineRule="auto"/>
        <w:ind w:left="360"/>
      </w:pPr>
      <w:r>
        <w:rPr>
          <w:b/>
        </w:rPr>
        <w:t xml:space="preserve">3. Network Access Controls and Network IP Whitelisting: </w:t>
      </w:r>
      <w:r>
        <w:t>Establishes firewall defenses to block unauthorized external access. By restricting traffic to explicit server IP addresses or trusted hosting platforms, this block keeps data collections shielded from outside network threats.</w:t>
      </w:r>
    </w:p>
    <w:p>
      <w:pPr>
        <w:spacing w:line="360" w:lineRule="auto"/>
        <w:ind w:left="360"/>
      </w:pPr>
      <w:r>
        <w:rPr>
          <w:b/>
        </w:rPr>
        <w:t xml:space="preserve">4. Driver Endpoint Binding and URI Connection String String Construction: </w:t>
      </w:r>
      <w:r>
        <w:t>Assembles the secure database connection payload. It includes access tokens, specific cluster host endpoints, and collection parameters to enable standard drivers to parse routing links smoothly during server initialization.</w:t>
      </w:r>
    </w:p>
    <w:p>
      <w:pPr>
        <w:spacing w:line="360" w:lineRule="auto"/>
        <w:ind w:left="360"/>
      </w:pPr>
      <w:r>
        <w:rPr>
          <w:b/>
        </w:rPr>
        <w:t xml:space="preserve">5. Driver Pipeline Mounting and Connection String Environmental Verification: </w:t>
      </w:r>
      <w:r>
        <w:t>Binds the parsed database connection path into backend environment configurations. It validates cluster connections during server bootstrapping, ensuring data models can access storage structures securely before handling user actions.</w:t>
      </w:r>
    </w:p>
    <w:p>
      <w:pPr>
        <w:pStyle w:val="Heading2"/>
        <w:keepNext/>
        <w:spacing w:before="320" w:after="120"/>
      </w:pPr>
      <w:r>
        <w:rPr>
          <w:rFonts w:ascii="Arial" w:hAnsi="Arial"/>
          <w:b/>
          <w:color w:val="4A777A"/>
          <w:sz w:val="26"/>
        </w:rPr>
        <w:t>1.3 Technical Cloud Cluster Configuration Reference Parameters</w:t>
      </w:r>
    </w:p>
    <w:p>
      <w:pPr>
        <w:spacing w:line="360" w:lineRule="auto"/>
      </w:pPr>
      <w:r>
        <w:t>To help replicate the production workspace setup and maintain uniform database environment baselines across staging nodes, the core cloud platform variables are detailed in the data reference table below:</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MongoDB Cluster Parameter Node</w:t>
            </w:r>
          </w:p>
        </w:tc>
        <w:tc>
          <w:tcPr>
            <w:tcW w:type="dxa" w:w="3120"/>
            <w:shd w:fill="1B365D"/>
          </w:tcPr>
          <w:p>
            <w:r>
              <w:rPr>
                <w:b/>
                <w:color w:val="FFFFFF"/>
              </w:rPr>
              <w:t>Configuration Form / Constraints</w:t>
            </w:r>
          </w:p>
        </w:tc>
        <w:tc>
          <w:tcPr>
            <w:tcW w:type="dxa" w:w="3120"/>
            <w:shd w:fill="1B365D"/>
          </w:tcPr>
          <w:p>
            <w:r>
              <w:rPr>
                <w:b/>
                <w:color w:val="FFFFFF"/>
              </w:rPr>
              <w:t>Operational Purpose &amp; Architecture Validation Impact</w:t>
            </w:r>
          </w:p>
        </w:tc>
      </w:tr>
      <w:tr>
        <w:tc>
          <w:tcPr>
            <w:tcW w:type="dxa" w:w="3120"/>
            <w:tcMar>
              <w:top w:w="120" w:type="dxa"/>
              <w:bottom w:w="120" w:type="dxa"/>
              <w:left w:w="140" w:type="dxa"/>
              <w:right w:w="140" w:type="dxa"/>
            </w:tcMar>
          </w:tcPr>
          <w:p>
            <w:r>
              <w:t>Database Project User</w:t>
            </w:r>
          </w:p>
        </w:tc>
        <w:tc>
          <w:tcPr>
            <w:tcW w:type="dxa" w:w="3120"/>
            <w:tcMar>
              <w:top w:w="120" w:type="dxa"/>
              <w:bottom w:w="120" w:type="dxa"/>
              <w:left w:w="140" w:type="dxa"/>
              <w:right w:w="140" w:type="dxa"/>
            </w:tcMar>
          </w:tcPr>
          <w:p>
            <w:r>
              <w:t>Alphanumeric String Identifier</w:t>
            </w:r>
          </w:p>
        </w:tc>
        <w:tc>
          <w:tcPr>
            <w:tcW w:type="dxa" w:w="3120"/>
            <w:tcMar>
              <w:top w:w="120" w:type="dxa"/>
              <w:bottom w:w="120" w:type="dxa"/>
              <w:left w:w="140" w:type="dxa"/>
              <w:right w:w="140" w:type="dxa"/>
            </w:tcMar>
          </w:tcPr>
          <w:p>
            <w:r>
              <w:t>Establishes read-and-write permissions to authorize document changes while blocking access to global cluster administrative functions.</w:t>
            </w:r>
          </w:p>
        </w:tc>
      </w:tr>
      <w:tr>
        <w:tc>
          <w:tcPr>
            <w:tcW w:type="dxa" w:w="3120"/>
            <w:tcMar>
              <w:top w:w="120" w:type="dxa"/>
              <w:bottom w:w="120" w:type="dxa"/>
              <w:left w:w="140" w:type="dxa"/>
              <w:right w:w="140" w:type="dxa"/>
            </w:tcMar>
            <w:shd w:fill="F5F7FA"/>
          </w:tcPr>
          <w:p>
            <w:r>
              <w:t>Network Firewall Whitelist</w:t>
            </w:r>
          </w:p>
        </w:tc>
        <w:tc>
          <w:tcPr>
            <w:tcW w:type="dxa" w:w="3120"/>
            <w:tcMar>
              <w:top w:w="120" w:type="dxa"/>
              <w:bottom w:w="120" w:type="dxa"/>
              <w:left w:w="140" w:type="dxa"/>
              <w:right w:w="140" w:type="dxa"/>
            </w:tcMar>
            <w:shd w:fill="F5F7FA"/>
          </w:tcPr>
          <w:p>
            <w:r>
              <w:t>IPv4 Addresses String (e.g., 0.0.0.0/0)</w:t>
            </w:r>
          </w:p>
        </w:tc>
        <w:tc>
          <w:tcPr>
            <w:tcW w:type="dxa" w:w="3120"/>
            <w:tcMar>
              <w:top w:w="120" w:type="dxa"/>
              <w:bottom w:w="120" w:type="dxa"/>
              <w:left w:w="140" w:type="dxa"/>
              <w:right w:w="140" w:type="dxa"/>
            </w:tcMar>
            <w:shd w:fill="F5F7FA"/>
          </w:tcPr>
          <w:p>
            <w:r>
              <w:t>Enforces perimeter firewall parameters, blocking unauthorized external addresses from connecting to cloud database structures.</w:t>
            </w:r>
          </w:p>
        </w:tc>
      </w:tr>
      <w:tr>
        <w:tc>
          <w:tcPr>
            <w:tcW w:type="dxa" w:w="3120"/>
            <w:tcMar>
              <w:top w:w="120" w:type="dxa"/>
              <w:bottom w:w="120" w:type="dxa"/>
              <w:left w:w="140" w:type="dxa"/>
              <w:right w:w="140" w:type="dxa"/>
            </w:tcMar>
          </w:tcPr>
          <w:p>
            <w:r>
              <w:t>Connection String Protocol</w:t>
            </w:r>
          </w:p>
        </w:tc>
        <w:tc>
          <w:tcPr>
            <w:tcW w:type="dxa" w:w="3120"/>
            <w:tcMar>
              <w:top w:w="120" w:type="dxa"/>
              <w:bottom w:w="120" w:type="dxa"/>
              <w:left w:w="140" w:type="dxa"/>
              <w:right w:w="140" w:type="dxa"/>
            </w:tcMar>
          </w:tcPr>
          <w:p>
            <w:r>
              <w:t>SRV URI standard (`mongodb+srv://`)</w:t>
            </w:r>
          </w:p>
        </w:tc>
        <w:tc>
          <w:tcPr>
            <w:tcW w:type="dxa" w:w="3120"/>
            <w:tcMar>
              <w:top w:w="120" w:type="dxa"/>
              <w:bottom w:w="120" w:type="dxa"/>
              <w:left w:w="140" w:type="dxa"/>
              <w:right w:w="140" w:type="dxa"/>
            </w:tcMar>
          </w:tcPr>
          <w:p>
            <w:r>
              <w:t>Enables advanced single-connection string lookups, letting database drivers discover multi-node replica instances dynamically.</w:t>
            </w:r>
          </w:p>
        </w:tc>
      </w:tr>
      <w:tr>
        <w:tc>
          <w:tcPr>
            <w:tcW w:type="dxa" w:w="3120"/>
            <w:tcMar>
              <w:top w:w="120" w:type="dxa"/>
              <w:bottom w:w="120" w:type="dxa"/>
              <w:left w:w="140" w:type="dxa"/>
              <w:right w:w="140" w:type="dxa"/>
            </w:tcMar>
            <w:shd w:fill="F5F7FA"/>
          </w:tcPr>
          <w:p>
            <w:r>
              <w:t>Persistent Collection Shard</w:t>
            </w:r>
          </w:p>
        </w:tc>
        <w:tc>
          <w:tcPr>
            <w:tcW w:type="dxa" w:w="3120"/>
            <w:tcMar>
              <w:top w:w="120" w:type="dxa"/>
              <w:bottom w:w="120" w:type="dxa"/>
              <w:left w:w="140" w:type="dxa"/>
              <w:right w:w="140" w:type="dxa"/>
            </w:tcMar>
            <w:shd w:fill="F5F7FA"/>
          </w:tcPr>
          <w:p>
            <w:r>
              <w:t>Distributed Shared BSON Tiers</w:t>
            </w:r>
          </w:p>
        </w:tc>
        <w:tc>
          <w:tcPr>
            <w:tcW w:type="dxa" w:w="3120"/>
            <w:tcMar>
              <w:top w:w="120" w:type="dxa"/>
              <w:bottom w:w="120" w:type="dxa"/>
              <w:left w:w="140" w:type="dxa"/>
              <w:right w:w="140" w:type="dxa"/>
            </w:tcMar>
            <w:shd w:fill="F5F7FA"/>
          </w:tcPr>
          <w:p>
            <w:r>
              <w:t>Maintains high storage efficiency by distributing user profiles, portfolios, and transaction logs across redundant data nodes.</w:t>
            </w:r>
          </w:p>
        </w:tc>
      </w:tr>
    </w:tbl>
    <w:p>
      <w:pPr>
        <w:jc w:val="center"/>
      </w:pPr>
      <w:r>
        <w:rPr>
          <w:i/>
          <w:sz w:val="20"/>
        </w:rPr>
        <w:t>Table 1.1: MongoDB Atlas Cloud Infrastructure Setup and Parameters Reference</w:t>
      </w:r>
    </w:p>
    <w:p>
      <w:r>
        <w:br w:type="page"/>
      </w:r>
    </w:p>
    <w:p>
      <w:pPr>
        <w:pStyle w:val="Heading2"/>
        <w:keepNext/>
        <w:spacing w:before="320" w:after="120"/>
      </w:pPr>
      <w:r>
        <w:rPr>
          <w:rFonts w:ascii="Arial" w:hAnsi="Arial"/>
          <w:b/>
          <w:color w:val="4A777A"/>
          <w:sz w:val="26"/>
        </w:rPr>
        <w:t>1.4 Real-World Cluster Connection and Verification Lifecycle</w:t>
      </w:r>
    </w:p>
    <w:p>
      <w:pPr>
        <w:spacing w:line="360" w:lineRule="auto"/>
      </w:pPr>
      <w:r>
        <w:t>The cloud configuration framework manages data synchronization carefully across the system lifecycle. When the application backend initializes its runtime thread, the system driver imports the connection string, parsing access details from secure variables. The application initiates communication handshakes with the cluster, prompting cloud access controllers to crosscheck the request against active IP firewall rules and verify driver permissions before granting cluster entry.</w:t>
        <w:br/>
        <w:br/>
        <w:t>Once the network path is approved, the database driver establishes connection pools, spawning persistent worker handles to manage concurrent requests without bottlenecks. Mongoose injects structure schemas onto data paths, preparing collections to handle data mutations. When users update portfolios or execute trades, the cloud cluster router automatically forwards commands to the active primary node container, which records the operations securely and mirrors updates out to secondary nodes instantly to ensure complete data redundancy.</w:t>
      </w:r>
    </w:p>
    <w:p>
      <w:pPr>
        <w:pStyle w:val="Heading2"/>
        <w:keepNext/>
        <w:spacing w:before="320" w:after="120"/>
      </w:pPr>
      <w:r>
        <w:rPr>
          <w:rFonts w:ascii="Arial" w:hAnsi="Arial"/>
          <w:b/>
          <w:color w:val="4A777A"/>
          <w:sz w:val="26"/>
        </w:rPr>
        <w:t>1.5 Structural Data Resiliency and Mirror Set Redundancy Advantages</w:t>
      </w:r>
    </w:p>
    <w:p>
      <w:pPr>
        <w:spacing w:line="360" w:lineRule="auto"/>
      </w:pPr>
      <w:r>
        <w:t>Hosting application data within managed cloud environments provides significant benefits for data safety and infrastructure scalability. If a data center node drops offline or experiences localized hardware errors during market simulations, the cluster's replica framework handles failovers automatically. It transitions an active secondary replica node into the primary controller position instantly, preserving data integrity and keeping the platform online without manual intervention.</w:t>
        <w:br/>
        <w:br/>
        <w:t>Additionally, as user transaction volume grows, the database structure can scale storage across distributed sharding networks smoothly, avoiding performance drops. Database tuning, index configuration, and security credential adjustments can be managed directly through cloud admin tools without needing to modify backend application code or pause active simulation networks. This database infrastructure design ensures the simulator remains highly maintainable, secure, and resilient over its operational lifecycle.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