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DATABASE SCHEMA MODELING AND DOCUMENT OBJECT LOGIC</w:t>
      </w:r>
    </w:p>
    <w:p>
      <w:pPr>
        <w:spacing w:line="360" w:lineRule="auto" w:after="240"/>
      </w:pPr>
      <w:r>
        <w:rPr>
          <w:i/>
        </w:rPr>
        <w:t xml:space="preserve">This section delivers an exhaustive project report detailing the database schema validation, data property modeling constraints, and collection structure configuration optimized for the backing database engines, as cataloged in the engineering dashboard tracker </w:t>
      </w:r>
      <w:r>
        <w:rPr>
          <w:b/>
        </w:rPr>
        <w:t>image_481b9b.png</w:t>
      </w:r>
      <w:r>
        <w:t>. In modern MERN stack full-stack applications, designing robust schema parameters using Object-Data Modeling (ODM) layers is essential to enforce strong data verification rules, manage asynchronous queries across non-relational document clusters, isolate collections, and guarantee structural data consistency during real-time virtual trading updates.</w:t>
      </w:r>
    </w:p>
    <w:p>
      <w:pPr>
        <w:pStyle w:val="Heading2"/>
        <w:keepNext/>
        <w:spacing w:before="320" w:after="120"/>
      </w:pPr>
      <w:r>
        <w:rPr>
          <w:rFonts w:ascii="Arial" w:hAnsi="Arial"/>
          <w:b/>
          <w:color w:val="4A777A"/>
          <w:sz w:val="26"/>
        </w:rPr>
        <w:t>1.1 Schematic Database Collection Architecture Blueprint</w:t>
      </w:r>
    </w:p>
    <w:p>
      <w:pPr>
        <w:spacing w:line="360" w:lineRule="auto"/>
      </w:pPr>
      <w:r>
        <w:t>The data schema trees, property types, and logical document structures required to implement persistent models inside the cloud cluster have been organized into a technical ASCII topology blueprint map below. This schema illustrates how user profiles, stock records, order documents, and transaction sheets are handled:</w:t>
      </w:r>
    </w:p>
    <w:p>
      <w:pPr>
        <w:spacing w:before="120" w:after="120"/>
        <w:jc w:val="center"/>
      </w:pPr>
      <w:r>
        <w:rPr>
          <w:rFonts w:ascii="Courier New" w:hAnsi="Courier New"/>
          <w:b/>
          <w:color w:val="1B365D"/>
          <w:sz w:val="17"/>
        </w:rPr>
        <w:t>=========================================================================================</w:t>
        <w:br/>
        <w:t xml:space="preserve">                                 MONGODB CLOUD DATABASE SCHEMA STRUCTURE                 </w:t>
        <w:br/>
        <w:t>=========================================================================================</w:t>
        <w:br/>
        <w:t xml:space="preserve">                                                                                         </w:t>
        <w:br/>
        <w:t xml:space="preserve">    MongoDB Atlas Instance Container (Cloud-Managed BSON Storage)                       </w:t>
        <w:br/>
        <w:t xml:space="preserve">    ├── Users Collection Document Schema                                                 </w:t>
        <w:br/>
        <w:t xml:space="preserve">    │     └── Attributes: _id [PK] | Username [Str] | email [Str] | password [Hashed]    </w:t>
        <w:br/>
        <w:t xml:space="preserve">    ├── Stocks Collection Document Schema                                                </w:t>
        <w:br/>
        <w:t xml:space="preserve">    │     └── Attributes: _id [PK] | Userid [FK] | Stock Symbol [Str] | Price [Float]    </w:t>
        <w:br/>
        <w:t xml:space="preserve">    ├── Orders Collection Document Schema                                                </w:t>
        <w:br/>
        <w:t xml:space="preserve">    │     └── Attributes: _id [PK] | Userid [FK] | Count [Int] | Total price [Float]     </w:t>
        <w:br/>
        <w:t xml:space="preserve">    └── Transactions Collection Document Schema                                          </w:t>
        <w:br/>
        <w:t xml:space="preserve">          └── Attributes: _id [PK] | userid [FK] | Transaction type [Enum] | Time [Date] </w:t>
        <w:br/>
        <w:t xml:space="preserve">                                                                                         </w:t>
        <w:br/>
        <w:t>=========================================================================================</w:t>
        <w:br/>
        <w:t xml:space="preserve">                             FIGURE 1.1: Database Collection Entity Structural Tree      </w:t>
        <w:br/>
        <w:t>=========================================================================================</w:t>
      </w:r>
    </w:p>
    <w:p>
      <w:pPr>
        <w:jc w:val="center"/>
      </w:pPr>
      <w:r>
        <w:rPr>
          <w:i/>
        </w:rPr>
        <w:t>[Insert Database Schema Modeling Dashboard Screenshot - Mongoose Document Fields Configuration]</w:t>
      </w:r>
    </w:p>
    <w:p>
      <w:r>
        <w:br w:type="page"/>
      </w:r>
    </w:p>
    <w:p>
      <w:pPr>
        <w:pStyle w:val="Heading2"/>
        <w:keepNext/>
        <w:spacing w:before="320" w:after="120"/>
      </w:pPr>
      <w:r>
        <w:rPr>
          <w:rFonts w:ascii="Arial" w:hAnsi="Arial"/>
          <w:b/>
          <w:color w:val="4A777A"/>
          <w:sz w:val="26"/>
        </w:rPr>
        <w:t>1.2 Detailed Analysis of Schema and Model Specifications</w:t>
      </w:r>
    </w:p>
    <w:p>
      <w:r>
        <w:t>The persistent layer architecture maps user fields and real-time transaction parameters into four distinct document collection blueprints:</w:t>
      </w:r>
    </w:p>
    <w:p>
      <w:pPr>
        <w:spacing w:line="360" w:lineRule="auto"/>
        <w:ind w:left="360"/>
      </w:pPr>
      <w:r>
        <w:rPr>
          <w:b/>
        </w:rPr>
        <w:t xml:space="preserve">1. Users Schema Blueprint Model: </w:t>
      </w:r>
      <w:r>
        <w:t>Defines the user profile schema criteria. It contains critical security records, including system primary keys, username text fields, lowercase email matching parameters, and cryptographically salted password strings, ensuring proper authorization routing and safe user account isolation.</w:t>
      </w:r>
    </w:p>
    <w:p>
      <w:pPr>
        <w:spacing w:line="360" w:lineRule="auto"/>
        <w:ind w:left="360"/>
      </w:pPr>
      <w:r>
        <w:rPr>
          <w:b/>
        </w:rPr>
        <w:t xml:space="preserve">2. Stocks Schema Blueprint Model: </w:t>
      </w:r>
      <w:r>
        <w:t>Tracks portfolio asset records for active user instances. It maintains unique identifiers linking each position back to a parent user record, and stores asset properties like uppercase ticker symbols, corporation descriptions, stock counts, current valuation decimals, and exchange codes.</w:t>
      </w:r>
    </w:p>
    <w:p>
      <w:pPr>
        <w:spacing w:line="360" w:lineRule="auto"/>
        <w:ind w:left="360"/>
      </w:pPr>
      <w:r>
        <w:rPr>
          <w:b/>
        </w:rPr>
        <w:t xml:space="preserve">3. Orders Schema Blueprint Model: </w:t>
      </w:r>
      <w:r>
        <w:t>Manages transient order processing fields, capturing execution variables like target tickers, user IDs, volume values, pricing constraints, fulfillment methods (Market vs Limit order types), and execution status properties (Pending, Filled, Cancelled).</w:t>
      </w:r>
    </w:p>
    <w:p>
      <w:pPr>
        <w:spacing w:line="360" w:lineRule="auto"/>
        <w:ind w:left="360"/>
      </w:pPr>
      <w:r>
        <w:rPr>
          <w:b/>
        </w:rPr>
        <w:t xml:space="preserve">4. Transactions Schema Blueprint Model: </w:t>
      </w:r>
      <w:r>
        <w:t>Acts as an unalterable operational transaction history log. It records data fields for auditing purposes, such as unique transaction identifiers, user references, buy/sell action types, settlement totals, and high-resolution time indexes.</w:t>
      </w:r>
    </w:p>
    <w:p>
      <w:pPr>
        <w:pStyle w:val="Heading2"/>
        <w:keepNext/>
        <w:spacing w:before="320" w:after="120"/>
      </w:pPr>
      <w:r>
        <w:rPr>
          <w:rFonts w:ascii="Arial" w:hAnsi="Arial"/>
          <w:b/>
          <w:color w:val="4A777A"/>
          <w:sz w:val="26"/>
        </w:rPr>
        <w:t>1.3 Database Collections and Property Constraint Reference</w:t>
      </w:r>
    </w:p>
    <w:p>
      <w:pPr>
        <w:spacing w:line="360" w:lineRule="auto"/>
      </w:pPr>
      <w:r>
        <w:t>To ensure consistent database replication and maintain uniform validation constraints across testing and production environments, the collection schemas are detailed in the technical data matrix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Persistent Collection Node</w:t>
            </w:r>
          </w:p>
        </w:tc>
        <w:tc>
          <w:tcPr>
            <w:tcW w:type="dxa" w:w="3120"/>
            <w:shd w:fill="1B365D"/>
          </w:tcPr>
          <w:p>
            <w:r>
              <w:rPr>
                <w:b/>
                <w:color w:val="FFFFFF"/>
              </w:rPr>
              <w:t>Database Field Model Scope</w:t>
            </w:r>
          </w:p>
        </w:tc>
        <w:tc>
          <w:tcPr>
            <w:tcW w:type="dxa" w:w="3120"/>
            <w:shd w:fill="1B365D"/>
          </w:tcPr>
          <w:p>
            <w:r>
              <w:rPr>
                <w:b/>
                <w:color w:val="FFFFFF"/>
              </w:rPr>
              <w:t>Core Architectural Validation Purpose</w:t>
            </w:r>
          </w:p>
        </w:tc>
      </w:tr>
      <w:tr>
        <w:tc>
          <w:tcPr>
            <w:tcW w:type="dxa" w:w="3120"/>
            <w:tcMar>
              <w:top w:w="120" w:type="dxa"/>
              <w:bottom w:w="120" w:type="dxa"/>
              <w:left w:w="140" w:type="dxa"/>
              <w:right w:w="140" w:type="dxa"/>
            </w:tcMar>
          </w:tcPr>
          <w:p>
            <w:r>
              <w:t>Users Collection</w:t>
            </w:r>
          </w:p>
        </w:tc>
        <w:tc>
          <w:tcPr>
            <w:tcW w:type="dxa" w:w="3120"/>
            <w:tcMar>
              <w:top w:w="120" w:type="dxa"/>
              <w:bottom w:w="120" w:type="dxa"/>
              <w:left w:w="140" w:type="dxa"/>
              <w:right w:w="140" w:type="dxa"/>
            </w:tcMar>
          </w:tcPr>
          <w:p>
            <w:r>
              <w:t>_id (PK), Username, email, password, UserType</w:t>
            </w:r>
          </w:p>
        </w:tc>
        <w:tc>
          <w:tcPr>
            <w:tcW w:type="dxa" w:w="3120"/>
            <w:tcMar>
              <w:top w:w="120" w:type="dxa"/>
              <w:bottom w:w="120" w:type="dxa"/>
              <w:left w:w="140" w:type="dxa"/>
              <w:right w:w="140" w:type="dxa"/>
            </w:tcMar>
          </w:tcPr>
          <w:p>
            <w:r>
              <w:t>Stores unique trader accounts, handles profile validation data, and manages system authorization controls securely.</w:t>
            </w:r>
          </w:p>
        </w:tc>
      </w:tr>
      <w:tr>
        <w:tc>
          <w:tcPr>
            <w:tcW w:type="dxa" w:w="3120"/>
            <w:tcMar>
              <w:top w:w="120" w:type="dxa"/>
              <w:bottom w:w="120" w:type="dxa"/>
              <w:left w:w="140" w:type="dxa"/>
              <w:right w:w="140" w:type="dxa"/>
            </w:tcMar>
            <w:shd w:fill="F5F7FA"/>
          </w:tcPr>
          <w:p>
            <w:r>
              <w:t>Stocks Collection</w:t>
            </w:r>
          </w:p>
        </w:tc>
        <w:tc>
          <w:tcPr>
            <w:tcW w:type="dxa" w:w="3120"/>
            <w:tcMar>
              <w:top w:w="120" w:type="dxa"/>
              <w:bottom w:w="120" w:type="dxa"/>
              <w:left w:w="140" w:type="dxa"/>
              <w:right w:w="140" w:type="dxa"/>
            </w:tcMar>
            <w:shd w:fill="F5F7FA"/>
          </w:tcPr>
          <w:p>
            <w:r>
              <w:t>_id (PK), Userid (FK), Stock Symbol, Price, Count, Total price</w:t>
            </w:r>
          </w:p>
        </w:tc>
        <w:tc>
          <w:tcPr>
            <w:tcW w:type="dxa" w:w="3120"/>
            <w:tcMar>
              <w:top w:w="120" w:type="dxa"/>
              <w:bottom w:w="120" w:type="dxa"/>
              <w:left w:w="140" w:type="dxa"/>
              <w:right w:w="140" w:type="dxa"/>
            </w:tcMar>
            <w:shd w:fill="F5F7FA"/>
          </w:tcPr>
          <w:p>
            <w:r>
              <w:t>Tracks active asset positions, records unit costs, and calculates real-time valuation metrics within individual user portfolios.</w:t>
            </w:r>
          </w:p>
        </w:tc>
      </w:tr>
      <w:tr>
        <w:tc>
          <w:tcPr>
            <w:tcW w:type="dxa" w:w="3120"/>
            <w:tcMar>
              <w:top w:w="120" w:type="dxa"/>
              <w:bottom w:w="120" w:type="dxa"/>
              <w:left w:w="140" w:type="dxa"/>
              <w:right w:w="140" w:type="dxa"/>
            </w:tcMar>
          </w:tcPr>
          <w:p>
            <w:r>
              <w:t>Orders Collection</w:t>
            </w:r>
          </w:p>
        </w:tc>
        <w:tc>
          <w:tcPr>
            <w:tcW w:type="dxa" w:w="3120"/>
            <w:tcMar>
              <w:top w:w="120" w:type="dxa"/>
              <w:bottom w:w="120" w:type="dxa"/>
              <w:left w:w="140" w:type="dxa"/>
              <w:right w:w="140" w:type="dxa"/>
            </w:tcMar>
          </w:tcPr>
          <w:p>
            <w:r>
              <w:t>_id (PK), Userid (FK), Price, Count, Total price, Order Type, Order Status</w:t>
            </w:r>
          </w:p>
        </w:tc>
        <w:tc>
          <w:tcPr>
            <w:tcW w:type="dxa" w:w="3120"/>
            <w:tcMar>
              <w:top w:w="120" w:type="dxa"/>
              <w:bottom w:w="120" w:type="dxa"/>
              <w:left w:w="140" w:type="dxa"/>
              <w:right w:w="140" w:type="dxa"/>
            </w:tcMar>
          </w:tcPr>
          <w:p>
            <w:r>
              <w:t>Validates order fulfillment parameters, tracking transient transaction records through execution cycles.</w:t>
            </w:r>
          </w:p>
        </w:tc>
      </w:tr>
      <w:tr>
        <w:tc>
          <w:tcPr>
            <w:tcW w:type="dxa" w:w="3120"/>
            <w:tcMar>
              <w:top w:w="120" w:type="dxa"/>
              <w:bottom w:w="120" w:type="dxa"/>
              <w:left w:w="140" w:type="dxa"/>
              <w:right w:w="140" w:type="dxa"/>
            </w:tcMar>
            <w:shd w:fill="F5F7FA"/>
          </w:tcPr>
          <w:p>
            <w:r>
              <w:t>Transactions Collection</w:t>
            </w:r>
          </w:p>
        </w:tc>
        <w:tc>
          <w:tcPr>
            <w:tcW w:type="dxa" w:w="3120"/>
            <w:tcMar>
              <w:top w:w="120" w:type="dxa"/>
              <w:bottom w:w="120" w:type="dxa"/>
              <w:left w:w="140" w:type="dxa"/>
              <w:right w:w="140" w:type="dxa"/>
            </w:tcMar>
            <w:shd w:fill="F5F7FA"/>
          </w:tcPr>
          <w:p>
            <w:r>
              <w:t>_id (PK), userid (FK), Transaction type, Payment mode, Amount, Time</w:t>
            </w:r>
          </w:p>
        </w:tc>
        <w:tc>
          <w:tcPr>
            <w:tcW w:type="dxa" w:w="3120"/>
            <w:tcMar>
              <w:top w:w="120" w:type="dxa"/>
              <w:bottom w:w="120" w:type="dxa"/>
              <w:left w:w="140" w:type="dxa"/>
              <w:right w:w="140" w:type="dxa"/>
            </w:tcMar>
            <w:shd w:fill="F5F7FA"/>
          </w:tcPr>
          <w:p>
            <w:r>
              <w:t>Maintains a permanent, timestamped auditing history log of all completed user buy, sell, and funding operations.</w:t>
            </w:r>
          </w:p>
        </w:tc>
      </w:tr>
    </w:tbl>
    <w:p>
      <w:pPr>
        <w:jc w:val="center"/>
      </w:pPr>
      <w:r>
        <w:rPr>
          <w:i/>
          <w:sz w:val="20"/>
        </w:rPr>
        <w:t>Table 1.1: Mongoose Schema Schema Property Constraints Reference Map</w:t>
      </w:r>
    </w:p>
    <w:p>
      <w:r>
        <w:br w:type="page"/>
      </w:r>
    </w:p>
    <w:p>
      <w:pPr>
        <w:pStyle w:val="Heading2"/>
        <w:keepNext/>
        <w:spacing w:before="320" w:after="120"/>
      </w:pPr>
      <w:r>
        <w:rPr>
          <w:rFonts w:ascii="Arial" w:hAnsi="Arial"/>
          <w:b/>
          <w:color w:val="4A777A"/>
          <w:sz w:val="26"/>
        </w:rPr>
        <w:t>1.4 Real-World Data Mutation Lifecycle and Constraints Enforcement</w:t>
      </w:r>
    </w:p>
    <w:p>
      <w:pPr>
        <w:spacing w:line="360" w:lineRule="auto"/>
      </w:pPr>
      <w:r>
        <w:t>The data schema configuration ensures absolute transactional safety across the application lifecycles. When a user submits an order request via front-end layout cards, the payload hits backend controller endpoints where properties are checked before updating database files. Mongoose models compile these inputs, confirming data types match specified schema constraints. If an operation includes a malformed property type or breaches validation restrictions—such as negative share quantities—the database model throws an validation error, blocking the operation before tables are modified.</w:t>
        <w:br/>
        <w:br/>
        <w:t>Once validation checks pass successfully, the backend initiates an atomic document modification sequence inside the cloud cluster container. If a buy order resolves, the platform reduces the user's available wallet balance, writes a new record to the stocks collection, and appends a permanent log to the transaction history ledger simultaneously. This multi-layered update routine prevents data corruption, keeping portfolio valutations perfectly synchronized across concurrent active user sessions.</w:t>
      </w:r>
    </w:p>
    <w:p>
      <w:pPr>
        <w:pStyle w:val="Heading2"/>
        <w:keepNext/>
        <w:spacing w:before="320" w:after="120"/>
      </w:pPr>
      <w:r>
        <w:rPr>
          <w:rFonts w:ascii="Arial" w:hAnsi="Arial"/>
          <w:b/>
          <w:color w:val="4A777A"/>
          <w:sz w:val="26"/>
        </w:rPr>
        <w:t>1.5 Structural Data Integrity and Cloud Scalability Benefits</w:t>
      </w:r>
    </w:p>
    <w:p>
      <w:pPr>
        <w:spacing w:line="360" w:lineRule="auto"/>
      </w:pPr>
      <w:r>
        <w:t>Structuring application entities into decoupled, object-validated schemas provides massive performance benefits for code maintenance and database scalability. By using flexible document fields instead of rigid tabular tables, the data architecture scales smoothly within cloud containers, handling high-concurrency request bursts effortlessly. This flexibility ensures the platform remains highly responsive as user volume grows.</w:t>
        <w:br/>
        <w:br/>
        <w:t>Additionally, schema validation rules can be modified completely within individual model files without needing complex database structural migrations or risking system-wide downtime. This isolated structure simplifies debugging workflows, prevents regression bugs during upgrades, and allows engineers to run isolated unit tests across backend controllers. This data design guarantees that the virtual stock trading simulator remains performant, secure, and resilient over its entire production lifespan.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