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20" w:after="120"/>
      </w:pPr>
      <w:r>
        <w:rPr>
          <w:rFonts w:ascii="Arial" w:hAnsi="Arial"/>
          <w:b/>
          <w:color w:val="1B365D"/>
          <w:sz w:val="32"/>
        </w:rPr>
        <w:t>1. SYSTEM DEVELOPMENT METRICS AND ENGINE LIFECYCLE EXPLANATION</w:t>
      </w:r>
    </w:p>
    <w:p>
      <w:pPr>
        <w:spacing w:line="360" w:lineRule="auto" w:after="240"/>
      </w:pPr>
      <w:r>
        <w:rPr>
          <w:i/>
        </w:rPr>
        <w:t xml:space="preserve">This section delivers an exhaustive project report detailing the full-stack system implementation, runtime data routing loops, and component dependencies engineered for the application, as captured in the tracking panel </w:t>
      </w:r>
      <w:r>
        <w:rPr>
          <w:b/>
        </w:rPr>
        <w:t>image_482e01.png</w:t>
      </w:r>
      <w:r>
        <w:t>. In production software engineering, documenting the continuous interaction between presentation layouts, asynchronous data providers, middleware processing hooks, and backend cloud cluster storage is critical to ensure zero data mismatch, verify authorization limits, and guarantee architectural system resilience across concurrent user sessions.</w:t>
      </w:r>
    </w:p>
    <w:p>
      <w:pPr>
        <w:pStyle w:val="Heading2"/>
        <w:keepNext/>
        <w:spacing w:before="320" w:after="120"/>
      </w:pPr>
      <w:r>
        <w:rPr>
          <w:rFonts w:ascii="Arial" w:hAnsi="Arial"/>
          <w:b/>
          <w:color w:val="4A777A"/>
          <w:sz w:val="26"/>
        </w:rPr>
        <w:t>1.1 Schematic Full-Stack Integration Data Pipeline</w:t>
      </w:r>
    </w:p>
    <w:p>
      <w:pPr>
        <w:spacing w:line="360" w:lineRule="auto"/>
      </w:pPr>
      <w:r>
        <w:t>The operational interaction segments, component tiers, and data boundaries that structure the virtual trading platform have been organized into a technical ASCII blueprint topology map below. This diagram details the end-to-end processing conduit spanning frontend client dashboards and persistent storage schemas:</w:t>
      </w:r>
    </w:p>
    <w:p>
      <w:pPr>
        <w:spacing w:before="120" w:after="120"/>
        <w:jc w:val="center"/>
      </w:pPr>
      <w:r>
        <w:rPr>
          <w:rFonts w:ascii="Courier New" w:hAnsi="Courier New"/>
          <w:b/>
          <w:color w:val="1B365D"/>
          <w:sz w:val="17"/>
        </w:rPr>
        <w:t>=========================================================================================</w:t>
        <w:br/>
        <w:t xml:space="preserve">                                 FULL-STACK INTEGRATION LIFECYCLE TOPOLOGY               </w:t>
        <w:br/>
        <w:t>=========================================================================================</w:t>
        <w:br/>
        <w:t xml:space="preserve">                                                                                         </w:t>
        <w:br/>
        <w:t xml:space="preserve">    [ USER PRESENTATION CLIENT TIER ]                                                    </w:t>
        <w:br/>
        <w:t xml:space="preserve">         React 19 Core Framework | Tailwind CSS | ShadCN UI Reusable Component Modals     </w:t>
        <w:br/>
        <w:t xml:space="preserve">                       |                                                                 </w:t>
        <w:br/>
        <w:t xml:space="preserve">                       v                                                                 </w:t>
        <w:br/>
        <w:t xml:space="preserve">    [ ASYNCHRONOUS DATA COUPLING TIER ]                                                  </w:t>
        <w:br/>
        <w:t xml:space="preserve">         Axios HTTP Promises Client =====( Transmits JSON Action Payloads )===========&gt;+ </w:t>
        <w:br/>
        <w:t xml:space="preserve">                       |                                                              |  </w:t>
        <w:br/>
        <w:t xml:space="preserve">                       v                                                              v  </w:t>
        <w:br/>
        <w:t xml:space="preserve">    [ RUNTIME CORE APPLICATION ROUTER TIER ]                                 [ ROUTE INTERCEPTORS ]</w:t>
        <w:br/>
        <w:t xml:space="preserve">         Node.js Run Engine Runtime | Express.js Web Controller Framework      (REST API Endpoints)  </w:t>
        <w:br/>
        <w:t xml:space="preserve">                       |                                                              |  </w:t>
        <w:br/>
        <w:t xml:space="preserve">                       v                                                              v  </w:t>
        <w:br/>
        <w:t xml:space="preserve">    [ SYSTEM BUSINESS CONTROL PIPELINE ]                                     [ MIDDLEWARE FILTERS ]</w:t>
        <w:br/>
        <w:t xml:space="preserve">         Business Logic Controllers (Wallet Balances / Order Fulfillment Engines)    (JWT Security) </w:t>
        <w:br/>
        <w:t xml:space="preserve">                       |                                                              |  </w:t>
        <w:br/>
        <w:t xml:space="preserve">                       v                                                              |  </w:t>
        <w:br/>
        <w:t xml:space="preserve">    [ PERSISTENT DATA CLOUD TIERS ] &lt;=================================================+  </w:t>
        <w:br/>
        <w:t xml:space="preserve">         Mongoose Object-Data Modeling (ODM) ===&gt; MongoDB Atlas Distributed Document Clusters</w:t>
        <w:br/>
        <w:t xml:space="preserve">                                                                                         </w:t>
        <w:br/>
        <w:t>=========================================================================================</w:t>
        <w:br/>
        <w:t xml:space="preserve">                             FIGURE 1.1: End-to-End MERN Application Execution Pathway   </w:t>
        <w:br/>
        <w:t>=========================================================================================</w:t>
      </w:r>
    </w:p>
    <w:p>
      <w:pPr>
        <w:jc w:val="center"/>
      </w:pPr>
      <w:r>
        <w:rPr>
          <w:i/>
        </w:rPr>
        <w:t>[Insert Development and Full-Stack Implementation Canvas Screenshot - End-to-End System Integration Architecture]</w:t>
      </w:r>
    </w:p>
    <w:p>
      <w:r>
        <w:br w:type="page"/>
      </w:r>
    </w:p>
    <w:p>
      <w:pPr>
        <w:pStyle w:val="Heading2"/>
        <w:keepNext/>
        <w:spacing w:before="320" w:after="120"/>
      </w:pPr>
      <w:r>
        <w:rPr>
          <w:rFonts w:ascii="Arial" w:hAnsi="Arial"/>
          <w:b/>
          <w:color w:val="4A777A"/>
          <w:sz w:val="26"/>
        </w:rPr>
        <w:t>1.2 Detailed Segment Analysis of Full-Stack Tiers</w:t>
      </w:r>
    </w:p>
    <w:p>
      <w:r>
        <w:t>The application execution pipeline separates presentation logic, communication conduits, and cloud data persistence mechanics across five highly integrated development domains:</w:t>
      </w:r>
    </w:p>
    <w:p>
      <w:pPr>
        <w:spacing w:line="360" w:lineRule="auto"/>
        <w:ind w:left="360"/>
      </w:pPr>
      <w:r>
        <w:rPr>
          <w:b/>
        </w:rPr>
        <w:t xml:space="preserve">1. User Presentation Client Tier (React): </w:t>
      </w:r>
      <w:r>
        <w:t>The user-facing presentation layer engineered with React framework parameters. This module handles user interaction, rendering dynamic dashboard layouts, ticker search inputs, active asset tables, and real-time wallet information displays, ensuring fluid visual style transitions.</w:t>
      </w:r>
    </w:p>
    <w:p>
      <w:pPr>
        <w:spacing w:line="360" w:lineRule="auto"/>
        <w:ind w:left="360"/>
      </w:pPr>
      <w:r>
        <w:rPr>
          <w:b/>
        </w:rPr>
        <w:t xml:space="preserve">2. Asynchronous Data Coupling Tier (Axios): </w:t>
      </w:r>
      <w:r>
        <w:t>Serves as the dedicated communication link connecting the browser interface with backend processing modules. It transmits formatted JSON request payloads and returns server confirmations asynchronously as network promises, keeping the user interface completely non-blocking.</w:t>
      </w:r>
    </w:p>
    <w:p>
      <w:pPr>
        <w:spacing w:line="360" w:lineRule="auto"/>
        <w:ind w:left="360"/>
      </w:pPr>
      <w:r>
        <w:rPr>
          <w:b/>
        </w:rPr>
        <w:t xml:space="preserve">3. Runtime Core Application Router Tier (Node.js &amp; Express): </w:t>
      </w:r>
      <w:r>
        <w:t>The server infrastructure framework that manages API request traffic. Running a performant event loop, this tier evaluates incoming paths, matches target endpoints, attaches security layers, and passes payloads downstream to business controllers.</w:t>
      </w:r>
    </w:p>
    <w:p>
      <w:pPr>
        <w:spacing w:line="360" w:lineRule="auto"/>
        <w:ind w:left="360"/>
      </w:pPr>
      <w:r>
        <w:rPr>
          <w:b/>
        </w:rPr>
        <w:t xml:space="preserve">4. System Business Control Pipeline Layer: </w:t>
      </w:r>
      <w:r>
        <w:t>The core engine where system rules are evaluated. It extracts transaction quantities, validates buy/sell operations against available cash, calculates weighted average acquisition costs, and updates portfolio variables before modifying persistent database records.</w:t>
      </w:r>
    </w:p>
    <w:p>
      <w:pPr>
        <w:spacing w:line="360" w:lineRule="auto"/>
        <w:ind w:left="360"/>
      </w:pPr>
      <w:r>
        <w:rPr>
          <w:b/>
        </w:rPr>
        <w:t xml:space="preserve">5. Persistent Data Cloud Tiers (MongoDB Atlas): </w:t>
      </w:r>
      <w:r>
        <w:t>The data management infrastructure hosted within secure cloud database environments. Mongoose maps application schemas into structured BSON properties, enforcing data type constraints and managing multi-user data additions safely across cluster containers.</w:t>
      </w:r>
    </w:p>
    <w:p>
      <w:pPr>
        <w:pStyle w:val="Heading2"/>
        <w:keepNext/>
        <w:spacing w:before="320" w:after="120"/>
      </w:pPr>
      <w:r>
        <w:rPr>
          <w:rFonts w:ascii="Arial" w:hAnsi="Arial"/>
          <w:b/>
          <w:color w:val="4A777A"/>
          <w:sz w:val="26"/>
        </w:rPr>
        <w:t>1.3 Technical Full-Stack Infrastructure Reference Parameters</w:t>
      </w:r>
    </w:p>
    <w:p>
      <w:pPr>
        <w:spacing w:line="360" w:lineRule="auto"/>
      </w:pPr>
      <w:r>
        <w:t>To ensure consistent project replication and maintain uniform software performance baselines across staging nodes, the core full-stack configuration boundaries are detailed in the reference table below:</w:t>
      </w:r>
    </w:p>
    <w:tbl>
      <w:tblPr>
        <w:tblW w:type="auto" w:w="0"/>
        <w:jc w:val="center"/>
        <w:tblLook w:firstColumn="1" w:firstRow="1" w:lastColumn="0" w:lastRow="0" w:noHBand="0" w:noVBand="1" w:val="04A0"/>
      </w:tblPr>
      <w:tblGrid>
        <w:gridCol w:w="3120"/>
        <w:gridCol w:w="3120"/>
        <w:gridCol w:w="3120"/>
      </w:tblGrid>
      <w:tr>
        <w:tc>
          <w:tcPr>
            <w:tcW w:type="dxa" w:w="3120"/>
            <w:shd w:fill="1B365D"/>
          </w:tcPr>
          <w:p>
            <w:r>
              <w:rPr>
                <w:b/>
                <w:color w:val="FFFFFF"/>
              </w:rPr>
              <w:t>Architecture Domain Node</w:t>
            </w:r>
          </w:p>
        </w:tc>
        <w:tc>
          <w:tcPr>
            <w:tcW w:type="dxa" w:w="3120"/>
            <w:shd w:fill="1B365D"/>
          </w:tcPr>
          <w:p>
            <w:r>
              <w:rPr>
                <w:b/>
                <w:color w:val="FFFFFF"/>
              </w:rPr>
              <w:t>Target Technology Stack Mapping</w:t>
            </w:r>
          </w:p>
        </w:tc>
        <w:tc>
          <w:tcPr>
            <w:tcW w:type="dxa" w:w="3120"/>
            <w:shd w:fill="1B365D"/>
          </w:tcPr>
          <w:p>
            <w:r>
              <w:rPr>
                <w:b/>
                <w:color w:val="FFFFFF"/>
              </w:rPr>
              <w:t>Core System Operational Scope &amp; Accountabilities</w:t>
            </w:r>
          </w:p>
        </w:tc>
      </w:tr>
      <w:tr>
        <w:tc>
          <w:tcPr>
            <w:tcW w:type="dxa" w:w="3120"/>
            <w:tcMar>
              <w:top w:w="120" w:type="dxa"/>
              <w:bottom w:w="120" w:type="dxa"/>
              <w:left w:w="140" w:type="dxa"/>
              <w:right w:w="140" w:type="dxa"/>
            </w:tcMar>
          </w:tcPr>
          <w:p>
            <w:r>
              <w:t>1. Frontend Presentation</w:t>
            </w:r>
          </w:p>
        </w:tc>
        <w:tc>
          <w:tcPr>
            <w:tcW w:type="dxa" w:w="3120"/>
            <w:tcMar>
              <w:top w:w="120" w:type="dxa"/>
              <w:bottom w:w="120" w:type="dxa"/>
              <w:left w:w="140" w:type="dxa"/>
              <w:right w:w="140" w:type="dxa"/>
            </w:tcMar>
          </w:tcPr>
          <w:p>
            <w:r>
              <w:t>React, Tailwind CSS, ShadCN UI Layouts</w:t>
            </w:r>
          </w:p>
        </w:tc>
        <w:tc>
          <w:tcPr>
            <w:tcW w:type="dxa" w:w="3120"/>
            <w:tcMar>
              <w:top w:w="120" w:type="dxa"/>
              <w:bottom w:w="120" w:type="dxa"/>
              <w:left w:w="140" w:type="dxa"/>
              <w:right w:w="140" w:type="dxa"/>
            </w:tcMar>
          </w:tcPr>
          <w:p>
            <w:r>
              <w:t>Renders highly fluid layout grids; intercepts navigation requests; manages user view state changes asynchronously.</w:t>
            </w:r>
          </w:p>
        </w:tc>
      </w:tr>
      <w:tr>
        <w:tc>
          <w:tcPr>
            <w:tcW w:type="dxa" w:w="3120"/>
            <w:tcMar>
              <w:top w:w="120" w:type="dxa"/>
              <w:bottom w:w="120" w:type="dxa"/>
              <w:left w:w="140" w:type="dxa"/>
              <w:right w:w="140" w:type="dxa"/>
            </w:tcMar>
            <w:shd w:fill="F5F7FA"/>
          </w:tcPr>
          <w:p>
            <w:r>
              <w:t>2. Network Communication</w:t>
            </w:r>
          </w:p>
        </w:tc>
        <w:tc>
          <w:tcPr>
            <w:tcW w:type="dxa" w:w="3120"/>
            <w:tcMar>
              <w:top w:w="120" w:type="dxa"/>
              <w:bottom w:w="120" w:type="dxa"/>
              <w:left w:w="140" w:type="dxa"/>
              <w:right w:w="140" w:type="dxa"/>
            </w:tcMar>
            <w:shd w:fill="F5F7FA"/>
          </w:tcPr>
          <w:p>
            <w:r>
              <w:t>Axios HTTP Asynchronous Promises Client</w:t>
            </w:r>
          </w:p>
        </w:tc>
        <w:tc>
          <w:tcPr>
            <w:tcW w:type="dxa" w:w="3120"/>
            <w:tcMar>
              <w:top w:w="120" w:type="dxa"/>
              <w:bottom w:w="120" w:type="dxa"/>
              <w:left w:w="140" w:type="dxa"/>
              <w:right w:w="140" w:type="dxa"/>
            </w:tcMar>
            <w:shd w:fill="F5F7FA"/>
          </w:tcPr>
          <w:p>
            <w:r>
              <w:t>Serializes data objects into JSON payloads; appends required header tokens; routes application responses securely.</w:t>
            </w:r>
          </w:p>
        </w:tc>
      </w:tr>
      <w:tr>
        <w:tc>
          <w:tcPr>
            <w:tcW w:type="dxa" w:w="3120"/>
            <w:tcMar>
              <w:top w:w="120" w:type="dxa"/>
              <w:bottom w:w="120" w:type="dxa"/>
              <w:left w:w="140" w:type="dxa"/>
              <w:right w:w="140" w:type="dxa"/>
            </w:tcMar>
          </w:tcPr>
          <w:p>
            <w:r>
              <w:t>3. Backend Web Engine</w:t>
            </w:r>
          </w:p>
        </w:tc>
        <w:tc>
          <w:tcPr>
            <w:tcW w:type="dxa" w:w="3120"/>
            <w:tcMar>
              <w:top w:w="120" w:type="dxa"/>
              <w:bottom w:w="120" w:type="dxa"/>
              <w:left w:w="140" w:type="dxa"/>
              <w:right w:w="140" w:type="dxa"/>
            </w:tcMar>
          </w:tcPr>
          <w:p>
            <w:r>
              <w:t>Node.js Runtime Container, Express.js Framework</w:t>
            </w:r>
          </w:p>
        </w:tc>
        <w:tc>
          <w:tcPr>
            <w:tcW w:type="dxa" w:w="3120"/>
            <w:tcMar>
              <w:top w:w="120" w:type="dxa"/>
              <w:bottom w:w="120" w:type="dxa"/>
              <w:left w:w="140" w:type="dxa"/>
              <w:right w:w="140" w:type="dxa"/>
            </w:tcMar>
          </w:tcPr>
          <w:p>
            <w:r>
              <w:t>Hosts active network endpoints; coordinates API path matching; handles concurrent client traffic efficiently.</w:t>
            </w:r>
          </w:p>
        </w:tc>
      </w:tr>
      <w:tr>
        <w:tc>
          <w:tcPr>
            <w:tcW w:type="dxa" w:w="3120"/>
            <w:tcMar>
              <w:top w:w="120" w:type="dxa"/>
              <w:bottom w:w="120" w:type="dxa"/>
              <w:left w:w="140" w:type="dxa"/>
              <w:right w:w="140" w:type="dxa"/>
            </w:tcMar>
            <w:shd w:fill="F5F7FA"/>
          </w:tcPr>
          <w:p>
            <w:r>
              <w:t>4. Core Logic Pipeline</w:t>
            </w:r>
          </w:p>
        </w:tc>
        <w:tc>
          <w:tcPr>
            <w:tcW w:type="dxa" w:w="3120"/>
            <w:tcMar>
              <w:top w:w="120" w:type="dxa"/>
              <w:bottom w:w="120" w:type="dxa"/>
              <w:left w:w="140" w:type="dxa"/>
              <w:right w:w="140" w:type="dxa"/>
            </w:tcMar>
            <w:shd w:fill="F5F7FA"/>
          </w:tcPr>
          <w:p>
            <w:r>
              <w:t>Custom JavaScript Controllers &amp; Middleware</w:t>
            </w:r>
          </w:p>
        </w:tc>
        <w:tc>
          <w:tcPr>
            <w:tcW w:type="dxa" w:w="3120"/>
            <w:tcMar>
              <w:top w:w="120" w:type="dxa"/>
              <w:bottom w:w="120" w:type="dxa"/>
              <w:left w:w="140" w:type="dxa"/>
              <w:right w:w="140" w:type="dxa"/>
            </w:tcMar>
            <w:shd w:fill="F5F7FA"/>
          </w:tcPr>
          <w:p>
            <w:r>
              <w:t>Validates transaction details; enforces account funding rules; computes wallet changes and average holding weights.</w:t>
            </w:r>
          </w:p>
        </w:tc>
      </w:tr>
      <w:tr>
        <w:tc>
          <w:tcPr>
            <w:tcW w:type="dxa" w:w="3120"/>
            <w:tcMar>
              <w:top w:w="120" w:type="dxa"/>
              <w:bottom w:w="120" w:type="dxa"/>
              <w:left w:w="140" w:type="dxa"/>
              <w:right w:w="140" w:type="dxa"/>
            </w:tcMar>
          </w:tcPr>
          <w:p>
            <w:r>
              <w:t>5. Distributed Storage</w:t>
            </w:r>
          </w:p>
        </w:tc>
        <w:tc>
          <w:tcPr>
            <w:tcW w:type="dxa" w:w="3120"/>
            <w:tcMar>
              <w:top w:w="120" w:type="dxa"/>
              <w:bottom w:w="120" w:type="dxa"/>
              <w:left w:w="140" w:type="dxa"/>
              <w:right w:w="140" w:type="dxa"/>
            </w:tcMar>
          </w:tcPr>
          <w:p>
            <w:r>
              <w:t>MongoDB Atlas Database, Mongoose ODM Blueprints</w:t>
            </w:r>
          </w:p>
        </w:tc>
        <w:tc>
          <w:tcPr>
            <w:tcW w:type="dxa" w:w="3120"/>
            <w:tcMar>
              <w:top w:w="120" w:type="dxa"/>
              <w:bottom w:w="120" w:type="dxa"/>
              <w:left w:w="140" w:type="dxa"/>
              <w:right w:w="140" w:type="dxa"/>
            </w:tcMar>
          </w:tcPr>
          <w:p>
            <w:r>
              <w:t>Enforces strict database property types; organizes BSON documents; runs persistent write operations within the cloud cluster.</w:t>
            </w:r>
          </w:p>
        </w:tc>
      </w:tr>
    </w:tbl>
    <w:p>
      <w:pPr>
        <w:jc w:val="center"/>
      </w:pPr>
      <w:r>
        <w:rPr>
          <w:i/>
          <w:sz w:val="20"/>
        </w:rPr>
        <w:t>Table 1.1: Full-Stack MERN Architecture Component Interaction Mapping</w:t>
      </w:r>
    </w:p>
    <w:p>
      <w:r>
        <w:br w:type="page"/>
      </w:r>
    </w:p>
    <w:p>
      <w:pPr>
        <w:pStyle w:val="Heading2"/>
        <w:keepNext/>
        <w:spacing w:before="320" w:after="120"/>
      </w:pPr>
      <w:r>
        <w:rPr>
          <w:rFonts w:ascii="Arial" w:hAnsi="Arial"/>
          <w:b/>
          <w:color w:val="4A777A"/>
          <w:sz w:val="26"/>
        </w:rPr>
        <w:t>1.4 Real-World Full-Stack Request Processing Lifecycle</w:t>
      </w:r>
    </w:p>
    <w:p>
      <w:pPr>
        <w:spacing w:line="360" w:lineRule="auto"/>
      </w:pPr>
      <w:r>
        <w:t>The system architecture manages data transmission securely across all tiers. When a trader submits a buy or sell request through the interface layout, the event triggers an asynchronous Axios command across the network layer. The payload travels securely as a serialized JSON object, hitting the server gateway where the Express framework parses it. Before reaching the core business controllers, custom middleware filters intercept the request, confirming token validity to block unauthorized traffic.</w:t>
        <w:br/>
        <w:br/>
        <w:t>Once verified, the transaction controller extracts the transaction details and runs validation checks to confirm that the user's available cash satisfies the estimated order costs. After validating these parameters, the controller invokes model hooks to commit the changes. The database model converts these commands into native queries, updating documents within the MongoDB Atlas containers. When the write operation returns a successful status, the controller packages the results into a uniform JSON response, sending it back to the client interface to trigger an immediate UI update without forcing a full page refresh.</w:t>
      </w:r>
    </w:p>
    <w:p>
      <w:pPr>
        <w:pStyle w:val="Heading2"/>
        <w:keepNext/>
        <w:spacing w:before="320" w:after="120"/>
      </w:pPr>
      <w:r>
        <w:rPr>
          <w:rFonts w:ascii="Arial" w:hAnsi="Arial"/>
          <w:b/>
          <w:color w:val="4A777A"/>
          <w:sz w:val="26"/>
        </w:rPr>
        <w:t>1.5 Code Modularization and System Scalability Benefits</w:t>
      </w:r>
    </w:p>
    <w:p>
      <w:pPr>
        <w:spacing w:line="360" w:lineRule="auto"/>
      </w:pPr>
      <w:r>
        <w:t>Decoupling application logic into clear architecture tiers provides immense benefits for software maintenance and scalability. Because interface views are completely separated from data schemas, front-end engineers can refactor layouts or integrate new charting libraries without touching server code or introducing database regression risks, allowing the presentation layer to evolve independently.</w:t>
        <w:br/>
        <w:br/>
        <w:t>Similarly, optimizing business logic, adjusting connection pooling parameters, or scaling the database infrastructure can be handled entirely within the controller and model tiers. This isolation prevents side-effects during platform upgrades, simplifies debugging loops, and enables developers to write clean, isolated unit tests for individual full-stack modules. This structural design ensures the virtual trading simulator remains highly secure, stable, and maintainable over its entire production lifespan.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