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FRONTEND USER INTERFACE ARCHITECTURE AND MODULE SPECIFICATION</w:t>
      </w:r>
    </w:p>
    <w:p>
      <w:pPr>
        <w:spacing w:line="360" w:lineRule="auto" w:after="240"/>
      </w:pPr>
      <w:r>
        <w:rPr>
          <w:i/>
        </w:rPr>
        <w:t xml:space="preserve">This section delivers an exhaustive project report detailing the frontend component design, single-page application view boundaries, and layout interaction pipelines engineered for the system client, as cataloged in the tracking module specification </w:t>
      </w:r>
      <w:r>
        <w:rPr>
          <w:b/>
        </w:rPr>
        <w:t>image_488854.png</w:t>
      </w:r>
      <w:r>
        <w:t>. In modern web engineering, establishing a highly descriptive structural mapping of user-facing dashboard layers, interface panels, data rendering containers, and interactive forms is essential to optimize component lifecycle events, ensure proper client-side validation thresholds, and achieve modular code isolation across presentation views.</w:t>
      </w:r>
    </w:p>
    <w:p>
      <w:pPr>
        <w:pStyle w:val="Heading2"/>
        <w:keepNext/>
        <w:spacing w:before="320" w:after="120"/>
      </w:pPr>
      <w:r>
        <w:rPr>
          <w:rFonts w:ascii="Arial" w:hAnsi="Arial"/>
          <w:b/>
          <w:color w:val="4A777A"/>
          <w:sz w:val="26"/>
        </w:rPr>
        <w:t>1.1 Schematic User Interface Panel Hierarchy Blueprint</w:t>
      </w:r>
    </w:p>
    <w:p>
      <w:pPr>
        <w:spacing w:line="360" w:lineRule="auto"/>
      </w:pPr>
      <w:r>
        <w:t>The component distribution tree, module linkages, and user view containment zones that compose the application interface layout have been mapped into a comprehensive technical ASCII blueprint topology diagram below. This mapping highlights the client processing relationships between the centralized main views, sub-panels, and control components:</w:t>
      </w:r>
    </w:p>
    <w:p>
      <w:pPr>
        <w:spacing w:before="120" w:after="120"/>
        <w:jc w:val="center"/>
      </w:pPr>
      <w:r>
        <w:rPr>
          <w:rFonts w:ascii="Courier New" w:hAnsi="Courier New"/>
          <w:b/>
          <w:color w:val="1B365D"/>
          <w:sz w:val="17"/>
        </w:rPr>
        <w:t>=========================================================================================</w:t>
        <w:br/>
        <w:t xml:space="preserve">                                 FRONTEND INTERFACE STRUCTURE AND SUB-PANELS             </w:t>
        <w:br/>
        <w:t>=========================================================================================</w:t>
        <w:br/>
        <w:t xml:space="preserve">                                                                                         </w:t>
        <w:br/>
        <w:t xml:space="preserve">    [ MAIN APPLICATION FRONTEND WORKSPACE ]                                              </w:t>
        <w:br/>
        <w:t xml:space="preserve">                       |                                                                 </w:t>
        <w:br/>
        <w:t xml:space="preserve">                       +---&gt; [ LOGIN VIEW INTERFACE CONTAINER ]                          </w:t>
        <w:br/>
        <w:t xml:space="preserve">                       |       └── Attributes: User Profile Fields | Secure Auth Token   </w:t>
        <w:br/>
        <w:t xml:space="preserve">                       |                                                                 </w:t>
        <w:br/>
        <w:t xml:space="preserve">                       +---&gt; [ CORE TRADING SIMULATOR DASHBOARD ]                        </w:t>
        <w:br/>
        <w:t xml:space="preserve">                       |       ├── Sub-Panel: View Live Stocks Tickers Container         </w:t>
        <w:br/>
        <w:t xml:space="preserve">                       |       ├── Sub-Panel: Dynamic Portfolio Allocation Overview      </w:t>
        <w:br/>
        <w:t xml:space="preserve">                       |       └── Sub-Panel: Real-Time Buy &amp; Sell Market Order Forms    </w:t>
        <w:br/>
        <w:t xml:space="preserve">                       |                                                                 </w:t>
        <w:br/>
        <w:t xml:space="preserve">                       +---&gt; [ TRANSACTION LEDGER ANALYSIS HISTORY VIEW ]                </w:t>
        <w:br/>
        <w:t xml:space="preserve">                       |       └── Attributes: Timestamp Logs | Share Counts | Totals    </w:t>
        <w:br/>
        <w:t xml:space="preserve">                       |                                                                 </w:t>
        <w:br/>
        <w:t xml:space="preserve">                       └── [ USER PROFILE MANAGEMENT PANELS ]                             </w:t>
        <w:br/>
        <w:t xml:space="preserve">                               └── Attributes: Credential Fields | Dark-Mode Toggle Cards</w:t>
        <w:br/>
        <w:t xml:space="preserve">                                                                                         </w:t>
        <w:br/>
        <w:t>=========================================================================================</w:t>
        <w:br/>
        <w:t xml:space="preserve">                             FIGURE 1.1: Component Layout and View Decomposition Tree   </w:t>
        <w:br/>
        <w:t>=========================================================================================</w:t>
      </w:r>
    </w:p>
    <w:p>
      <w:pPr>
        <w:jc w:val="center"/>
      </w:pPr>
      <w:r>
        <w:rPr>
          <w:i/>
        </w:rPr>
        <w:t>[Insert Frontend View Layout Screenshot - Comprehensive Client Component Tree Map]</w:t>
      </w:r>
    </w:p>
    <w:p>
      <w:r>
        <w:br w:type="page"/>
      </w:r>
    </w:p>
    <w:p>
      <w:pPr>
        <w:pStyle w:val="Heading2"/>
        <w:keepNext/>
        <w:spacing w:before="320" w:after="120"/>
      </w:pPr>
      <w:r>
        <w:rPr>
          <w:rFonts w:ascii="Arial" w:hAnsi="Arial"/>
          <w:b/>
          <w:color w:val="4A777A"/>
          <w:sz w:val="26"/>
        </w:rPr>
        <w:t>1.2 Detailed Segment Analysis of Interface Modules</w:t>
      </w:r>
    </w:p>
    <w:p>
      <w:r>
        <w:t>The frontend application presentation layout separates functional windows, sub-components, and form panels across four specialized user interaction tiers:</w:t>
      </w:r>
    </w:p>
    <w:p>
      <w:pPr>
        <w:spacing w:line="360" w:lineRule="auto"/>
        <w:ind w:left="360"/>
      </w:pPr>
      <w:r>
        <w:rPr>
          <w:b/>
        </w:rPr>
        <w:t xml:space="preserve">1. Authenticated Access and User Onboarding Gateway: </w:t>
      </w:r>
      <w:r>
        <w:t>The primary security checkpoint view. It houses interactive forms for user login and new member account creation, capturing input metadata, enforcing credential validation constraints on the client side, and checking response parameters before allowing entry to private modules.</w:t>
      </w:r>
    </w:p>
    <w:p>
      <w:pPr>
        <w:spacing w:line="360" w:lineRule="auto"/>
        <w:ind w:left="360"/>
      </w:pPr>
      <w:r>
        <w:rPr>
          <w:b/>
        </w:rPr>
        <w:t xml:space="preserve">2. Core Simulator Trading Dashboard Module: </w:t>
      </w:r>
      <w:r>
        <w:t>The primary execution view hub. It brings together several essential sub-components to provide a complete trading simulation workspace, including real-time stock directories, portfolio summaries, and execution cards:</w:t>
      </w:r>
    </w:p>
    <w:p>
      <w:pPr>
        <w:spacing w:line="360" w:lineRule="auto"/>
        <w:ind w:left="720"/>
      </w:pPr>
      <w:r>
        <w:rPr>
          <w:b/>
        </w:rPr>
        <w:t xml:space="preserve">• View Live Stocks Ticker Panel: </w:t>
      </w:r>
      <w:r>
        <w:t>A responsive table display that lists active US equity symbols alongside real-time asset pricing metrics, percentage variations, and search input fields for fast filtering.</w:t>
      </w:r>
    </w:p>
    <w:p>
      <w:pPr>
        <w:spacing w:line="360" w:lineRule="auto"/>
        <w:ind w:left="720"/>
      </w:pPr>
      <w:r>
        <w:rPr>
          <w:b/>
        </w:rPr>
        <w:t xml:space="preserve">• Portfolio Asset Valuation Overview: </w:t>
      </w:r>
      <w:r>
        <w:t>An analytical dashboard area displaying critical position states, net holdings valuations, available cash liquidities, and dynamic total profit-and-loss balances.</w:t>
      </w:r>
    </w:p>
    <w:p>
      <w:pPr>
        <w:spacing w:line="360" w:lineRule="auto"/>
        <w:ind w:left="720"/>
      </w:pPr>
      <w:r>
        <w:rPr>
          <w:b/>
        </w:rPr>
        <w:t xml:space="preserve">• Buy &amp; Sell Market Execution Forms: </w:t>
      </w:r>
      <w:r>
        <w:t>Interactive control models containing item selectors, quantity boundaries, estimated cost calculators, and submission action buttons to handle paper trading instructions safely.</w:t>
      </w:r>
    </w:p>
    <w:p>
      <w:pPr>
        <w:spacing w:line="360" w:lineRule="auto"/>
        <w:ind w:left="360"/>
      </w:pPr>
      <w:r>
        <w:rPr>
          <w:b/>
        </w:rPr>
        <w:t xml:space="preserve">3. Transaction Ledger Analysis History View: </w:t>
      </w:r>
      <w:r>
        <w:t>An unalterable logging ledger interface. This window fetches historical account entries, sorting records into an audit grid that itemizes share counts, average acquisition costs, ticker names, execution arrows, and high-resolution timestamps.</w:t>
      </w:r>
    </w:p>
    <w:p>
      <w:pPr>
        <w:spacing w:line="360" w:lineRule="auto"/>
        <w:ind w:left="360"/>
      </w:pPr>
      <w:r>
        <w:rPr>
          <w:b/>
        </w:rPr>
        <w:t xml:space="preserve">4. User Profile Management and Customization Panels: </w:t>
      </w:r>
      <w:r>
        <w:t>The central control settings hub. It allows users to modify profile credentials, update email preferences, manage dark-mode style toggles, and handle clean session termination commands securely.</w:t>
      </w:r>
    </w:p>
    <w:p>
      <w:pPr>
        <w:pStyle w:val="Heading2"/>
        <w:keepNext/>
        <w:spacing w:before="320" w:after="120"/>
      </w:pPr>
      <w:r>
        <w:rPr>
          <w:rFonts w:ascii="Arial" w:hAnsi="Arial"/>
          <w:b/>
          <w:color w:val="4A777A"/>
          <w:sz w:val="26"/>
        </w:rPr>
        <w:t>1.3 Frontend Component Allocation and Interface Specification</w:t>
      </w:r>
    </w:p>
    <w:p>
      <w:pPr>
        <w:spacing w:line="360" w:lineRule="auto"/>
      </w:pPr>
      <w:r>
        <w:t>To help replicate user layout designs and maintain uniform view behaviors across distinct client build profiles, the interface parameters are detailed in the technical specification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Frontend View Node</w:t>
            </w:r>
          </w:p>
        </w:tc>
        <w:tc>
          <w:tcPr>
            <w:tcW w:type="dxa" w:w="3120"/>
            <w:shd w:fill="1B365D"/>
          </w:tcPr>
          <w:p>
            <w:r>
              <w:rPr>
                <w:b/>
                <w:color w:val="FFFFFF"/>
              </w:rPr>
              <w:t>Core UI Sub-Components Allocated</w:t>
            </w:r>
          </w:p>
        </w:tc>
        <w:tc>
          <w:tcPr>
            <w:tcW w:type="dxa" w:w="3120"/>
            <w:shd w:fill="1B365D"/>
          </w:tcPr>
          <w:p>
            <w:r>
              <w:rPr>
                <w:b/>
                <w:color w:val="FFFFFF"/>
              </w:rPr>
              <w:t>Architectural Purpose &amp; Interface Responsibility</w:t>
            </w:r>
          </w:p>
        </w:tc>
      </w:tr>
      <w:tr>
        <w:tc>
          <w:tcPr>
            <w:tcW w:type="dxa" w:w="3120"/>
            <w:tcMar>
              <w:top w:w="120" w:type="dxa"/>
              <w:bottom w:w="120" w:type="dxa"/>
              <w:left w:w="140" w:type="dxa"/>
              <w:right w:w="140" w:type="dxa"/>
            </w:tcMar>
          </w:tcPr>
          <w:p>
            <w:r>
              <w:t>1. Authentication Gateway</w:t>
            </w:r>
          </w:p>
        </w:tc>
        <w:tc>
          <w:tcPr>
            <w:tcW w:type="dxa" w:w="3120"/>
            <w:tcMar>
              <w:top w:w="120" w:type="dxa"/>
              <w:bottom w:w="120" w:type="dxa"/>
              <w:left w:w="140" w:type="dxa"/>
              <w:right w:w="140" w:type="dxa"/>
            </w:tcMar>
          </w:tcPr>
          <w:p>
            <w:r>
              <w:t>Login View Form Cards, Register Layout Modals</w:t>
            </w:r>
          </w:p>
        </w:tc>
        <w:tc>
          <w:tcPr>
            <w:tcW w:type="dxa" w:w="3120"/>
            <w:tcMar>
              <w:top w:w="120" w:type="dxa"/>
              <w:bottom w:w="120" w:type="dxa"/>
              <w:left w:w="140" w:type="dxa"/>
              <w:right w:w="140" w:type="dxa"/>
            </w:tcMar>
          </w:tcPr>
          <w:p>
            <w:r>
              <w:t>Collects onboarding entries; intercepts profile credentials; coordinates secure authentication requests securely.</w:t>
            </w:r>
          </w:p>
        </w:tc>
      </w:tr>
      <w:tr>
        <w:tc>
          <w:tcPr>
            <w:tcW w:type="dxa" w:w="3120"/>
            <w:tcMar>
              <w:top w:w="120" w:type="dxa"/>
              <w:bottom w:w="120" w:type="dxa"/>
              <w:left w:w="140" w:type="dxa"/>
              <w:right w:w="140" w:type="dxa"/>
            </w:tcMar>
            <w:shd w:fill="F5F7FA"/>
          </w:tcPr>
          <w:p>
            <w:r>
              <w:t>2. Trading Dashboard</w:t>
            </w:r>
          </w:p>
        </w:tc>
        <w:tc>
          <w:tcPr>
            <w:tcW w:type="dxa" w:w="3120"/>
            <w:tcMar>
              <w:top w:w="120" w:type="dxa"/>
              <w:bottom w:w="120" w:type="dxa"/>
              <w:left w:w="140" w:type="dxa"/>
              <w:right w:w="140" w:type="dxa"/>
            </w:tcMar>
            <w:shd w:fill="F5F7FA"/>
          </w:tcPr>
          <w:p>
            <w:r>
              <w:t>Live Stocks Ticker Tables, Portfolio Asset Graphs, Order Forms</w:t>
            </w:r>
          </w:p>
        </w:tc>
        <w:tc>
          <w:tcPr>
            <w:tcW w:type="dxa" w:w="3120"/>
            <w:tcMar>
              <w:top w:w="120" w:type="dxa"/>
              <w:bottom w:w="120" w:type="dxa"/>
              <w:left w:w="140" w:type="dxa"/>
              <w:right w:w="140" w:type="dxa"/>
            </w:tcMar>
            <w:shd w:fill="F5F7FA"/>
          </w:tcPr>
          <w:p>
            <w:r>
              <w:t>Combines critical simulation sub-panels; tracks active portfolio value metrics; processes buy/sell actions instantly.</w:t>
            </w:r>
          </w:p>
        </w:tc>
      </w:tr>
      <w:tr>
        <w:tc>
          <w:tcPr>
            <w:tcW w:type="dxa" w:w="3120"/>
            <w:tcMar>
              <w:top w:w="120" w:type="dxa"/>
              <w:bottom w:w="120" w:type="dxa"/>
              <w:left w:w="140" w:type="dxa"/>
              <w:right w:w="140" w:type="dxa"/>
            </w:tcMar>
          </w:tcPr>
          <w:p>
            <w:r>
              <w:t>3. Transaction History</w:t>
            </w:r>
          </w:p>
        </w:tc>
        <w:tc>
          <w:tcPr>
            <w:tcW w:type="dxa" w:w="3120"/>
            <w:tcMar>
              <w:top w:w="120" w:type="dxa"/>
              <w:bottom w:w="120" w:type="dxa"/>
              <w:left w:w="140" w:type="dxa"/>
              <w:right w:w="140" w:type="dxa"/>
            </w:tcMar>
          </w:tcPr>
          <w:p>
            <w:r>
              <w:t>Audit History Ledgers, Timestamp Cards, Query Filters</w:t>
            </w:r>
          </w:p>
        </w:tc>
        <w:tc>
          <w:tcPr>
            <w:tcW w:type="dxa" w:w="3120"/>
            <w:tcMar>
              <w:top w:w="120" w:type="dxa"/>
              <w:bottom w:w="120" w:type="dxa"/>
              <w:left w:w="140" w:type="dxa"/>
              <w:right w:w="140" w:type="dxa"/>
            </w:tcMar>
          </w:tcPr>
          <w:p>
            <w:r>
              <w:t>Renders historical account logs; parses transactional values; enables long-term performance tracking for auditing.</w:t>
            </w:r>
          </w:p>
        </w:tc>
      </w:tr>
      <w:tr>
        <w:tc>
          <w:tcPr>
            <w:tcW w:type="dxa" w:w="3120"/>
            <w:tcMar>
              <w:top w:w="120" w:type="dxa"/>
              <w:bottom w:w="120" w:type="dxa"/>
              <w:left w:w="140" w:type="dxa"/>
              <w:right w:w="140" w:type="dxa"/>
            </w:tcMar>
            <w:shd w:fill="F5F7FA"/>
          </w:tcPr>
          <w:p>
            <w:r>
              <w:t>4. Profile Settings</w:t>
            </w:r>
          </w:p>
        </w:tc>
        <w:tc>
          <w:tcPr>
            <w:tcW w:type="dxa" w:w="3120"/>
            <w:tcMar>
              <w:top w:w="120" w:type="dxa"/>
              <w:bottom w:w="120" w:type="dxa"/>
              <w:left w:w="140" w:type="dxa"/>
              <w:right w:w="140" w:type="dxa"/>
            </w:tcMar>
            <w:shd w:fill="F5F7FA"/>
          </w:tcPr>
          <w:p>
            <w:r>
              <w:t>Account Modification Sheets, Theme Toggles, Session Cards</w:t>
            </w:r>
          </w:p>
        </w:tc>
        <w:tc>
          <w:tcPr>
            <w:tcW w:type="dxa" w:w="3120"/>
            <w:tcMar>
              <w:top w:w="120" w:type="dxa"/>
              <w:bottom w:w="120" w:type="dxa"/>
              <w:left w:w="140" w:type="dxa"/>
              <w:right w:w="140" w:type="dxa"/>
            </w:tcMar>
            <w:shd w:fill="F5F7FA"/>
          </w:tcPr>
          <w:p>
            <w:r>
              <w:t>Manages individual user settings; handles password modifications; clears application tokens during logout cycles.</w:t>
            </w:r>
          </w:p>
        </w:tc>
      </w:tr>
    </w:tbl>
    <w:p>
      <w:pPr>
        <w:jc w:val="center"/>
      </w:pPr>
      <w:r>
        <w:rPr>
          <w:i/>
          <w:sz w:val="20"/>
        </w:rPr>
        <w:t>Table 1.1: Frontend Client View Segmentation and Allocation Map</w:t>
      </w:r>
    </w:p>
    <w:p>
      <w:r>
        <w:br w:type="page"/>
      </w:r>
    </w:p>
    <w:p>
      <w:pPr>
        <w:pStyle w:val="Heading2"/>
        <w:keepNext/>
        <w:spacing w:before="320" w:after="120"/>
      </w:pPr>
      <w:r>
        <w:rPr>
          <w:rFonts w:ascii="Arial" w:hAnsi="Arial"/>
          <w:b/>
          <w:color w:val="4A777A"/>
          <w:sz w:val="26"/>
        </w:rPr>
        <w:t>1.4 Real-World Client Intercomponent Event Lifecycle</w:t>
      </w:r>
    </w:p>
    <w:p>
      <w:pPr>
        <w:spacing w:line="360" w:lineRule="auto"/>
      </w:pPr>
      <w:r>
        <w:t>The frontend structure manages state transmission smoothly across all view layers. When a user changes their active view from the history ledger to the trading dashboard, the route manager intercepts the action, unmounting inactive components while verifying session variables in the background. The newly rendered dashboard initiates parallel data fetching cycles via custom hooks, updating the stocks directory and drawing refreshed metrics onto the screen. This isolated update system minimizes layout jitter and keeps interface performance fluid and highly responsive.</w:t>
        <w:br/>
        <w:br/>
        <w:t>When a user submits a trade using the order form, the component captures the data fields, verifies that the requested shares are positive, and triggers an asynchronous network request. While the request processes, the button component switches to a loading state to prevent accidental duplicate actions. When the server confirms order execution, the data cache layer updates the user's available cash and portfolio assets instantly, causing the interface layout to re-render and report corrected valuations immediately without requiring a full page refresh.</w:t>
      </w:r>
    </w:p>
    <w:p>
      <w:pPr>
        <w:pStyle w:val="Heading2"/>
        <w:keepNext/>
        <w:spacing w:before="320" w:after="120"/>
      </w:pPr>
      <w:r>
        <w:rPr>
          <w:rFonts w:ascii="Arial" w:hAnsi="Arial"/>
          <w:b/>
          <w:color w:val="4A777A"/>
          <w:sz w:val="26"/>
        </w:rPr>
        <w:t>1.5 Interface Modularity and Component Reusability Advantages</w:t>
      </w:r>
    </w:p>
    <w:p>
      <w:pPr>
        <w:spacing w:line="360" w:lineRule="auto"/>
      </w:pPr>
      <w:r>
        <w:t>Organizing the frontend into clear, modular layout tiers provides immense advantages for ongoing codebase maintenance and system scalability. Because sub-components like the live stock tables or order forms are decoupled from parent dashboard elements, front-end developers can easily update specific visual layouts, modify styling templates, or swap data fields without touching core business logic or risking regression errors. This independence allows design elements to evolve cleanly over time.</w:t>
        <w:br/>
        <w:br/>
        <w:t>Additionally, this modular architecture simplifies layout compilation and optimizes application loading speeds by allowing deep paths to load assets on demand. If a technical issue occurs within the history table, the failure is caught by component boundaries, keeping the trading forms and market dashboards fully operational. This robust interface design ensures the virtual trading simulator remains highly maintainable, stable, and secure across its production lifespan.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