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Arial" w:hAnsi="Arial"/>
          <w:b/>
          <w:color w:val="1B365D"/>
          <w:sz w:val="32"/>
        </w:rPr>
        <w:t>SECTION 2: ENTITY-RELATIONSHIP (ER) DATA MODEL SPECIFICATION</w:t>
      </w:r>
    </w:p>
    <w:p>
      <w:pPr>
        <w:spacing w:line="360" w:lineRule="auto"/>
      </w:pPr>
      <w:r>
        <w:t xml:space="preserve">This section details the formal relational and logical entity layout of the </w:t>
      </w:r>
      <w:r>
        <w:rPr>
          <w:b/>
        </w:rPr>
        <w:t>SB Stocks – Virtual Stock Trading Simulator</w:t>
      </w:r>
      <w:r>
        <w:t xml:space="preserve">, as assigned to and architected by team member </w:t>
      </w:r>
      <w:r>
        <w:rPr>
          <w:b/>
        </w:rPr>
        <w:t>Bhuvanesh Jujare</w:t>
      </w:r>
      <w:r>
        <w:t>. In a transactional virtual environment, schema mapping is critical to ensure zero data corruption, real-time portfolio updates, and atomic transactional history logging. While the backing storage mechanism utilizes an agile, non-relational document database cluster (MongoDB Atlas), Mongoose object data modeling provides relational constraints, validation layers, and entity associations to accurately represent real-world equity brokerage interactions.</w:t>
      </w:r>
    </w:p>
    <w:p>
      <w:pPr>
        <w:pStyle w:val="Heading2"/>
        <w:keepNext/>
        <w:spacing w:before="240" w:after="120"/>
      </w:pPr>
      <w:r>
        <w:rPr>
          <w:rFonts w:ascii="Arial" w:hAnsi="Arial"/>
          <w:b/>
          <w:color w:val="4A777A"/>
          <w:sz w:val="26"/>
        </w:rPr>
        <w:t>2.1 Graphical Entity-Relationship Structural Map</w:t>
      </w:r>
    </w:p>
    <w:p>
      <w:pPr>
        <w:spacing w:line="360" w:lineRule="auto"/>
      </w:pPr>
      <w:r>
        <w:t>The logical map below outlines the systematic attribute mappings, tracking nodes, and primary/foreign references engineered across the data layers of the application. It maps out the exact relational associations between system users, active stock symbols, transaction histories, and live order structures:</w:t>
      </w:r>
    </w:p>
    <w:p>
      <w:pPr>
        <w:spacing w:before="120" w:after="120"/>
        <w:jc w:val="center"/>
      </w:pPr>
      <w:r>
        <w:rPr>
          <w:rFonts w:ascii="Courier New" w:hAnsi="Courier New"/>
          <w:b/>
          <w:color w:val="1B365D"/>
          <w:sz w:val="17"/>
        </w:rPr>
        <w:t>==================================================================================================</w:t>
        <w:br/>
        <w:t xml:space="preserve">                                   SB STOCKS ENTITY RELATIONSHIP MODEL                            </w:t>
        <w:br/>
        <w:t>==================================================================================================</w:t>
        <w:br/>
        <w:t xml:space="preserve">   +------------------+                   +--------------------+                  +-------------+</w:t>
        <w:br/>
        <w:t xml:space="preserve">   |      USERS       |                   |       STOCKS       |                  | TRANSACTIONS|</w:t>
        <w:br/>
        <w:t xml:space="preserve">   +------------------+                   +--------------------+                  +-------------+</w:t>
        <w:br/>
        <w:t xml:space="preserve">   | _id (PK)         |                   | _id (PK)           |                  | _id (PK)    |</w:t>
        <w:br/>
        <w:t xml:space="preserve">   | Username         |                   | Userid (FK)        |                  | userid (FK) |</w:t>
        <w:br/>
        <w:t xml:space="preserve">   | email            |                   | Stock Symbol       |                  | Transaction |</w:t>
        <w:br/>
        <w:t xml:space="preserve">   | password         |                   | Stock name         |                  |    type     |</w:t>
        <w:br/>
        <w:t xml:space="preserve">   | UserType         |                   | Price              |                  | Payment mode|</w:t>
        <w:br/>
        <w:t xml:space="preserve">   +------------------+                   | Count              |                  | Amount      |</w:t>
        <w:br/>
        <w:t xml:space="preserve">            |                             | Total price        |                  | Time        |</w:t>
        <w:br/>
        <w:t xml:space="preserve">            |                             | Stock Exchange     |                  +-------------+</w:t>
        <w:br/>
        <w:t xml:space="preserve">            |                             +--------------------+                         ^</w:t>
        <w:br/>
        <w:t xml:space="preserve">            |                                       ^                                    |</w:t>
        <w:br/>
        <w:t xml:space="preserve">            |                                       |                                    |</w:t>
        <w:br/>
        <w:t xml:space="preserve">            +--------------------+------------------+------------------------------------+|</w:t>
        <w:br/>
        <w:t xml:space="preserve">                                 |                                                       |</w:t>
        <w:br/>
        <w:t xml:space="preserve">                                 v                                                       |</w:t>
        <w:br/>
        <w:t xml:space="preserve">                     +-----------------------+                                           |</w:t>
        <w:br/>
        <w:t xml:space="preserve">                     |     STOCKS ORDERS     |                                           |</w:t>
        <w:br/>
        <w:t xml:space="preserve">                     +-----------------------+                                           |</w:t>
        <w:br/>
        <w:t xml:space="preserve">                     | _id (PK)              |                                           |</w:t>
        <w:br/>
        <w:t xml:space="preserve">                     | Userid (FK)           |                                           |</w:t>
        <w:br/>
        <w:t xml:space="preserve">                     | Stock Symbol          |                                           |</w:t>
        <w:br/>
        <w:t xml:space="preserve">                     | Stock name            |-------------------------------------------+</w:t>
        <w:br/>
        <w:t xml:space="preserve">                     | Price                 |</w:t>
        <w:br/>
        <w:t xml:space="preserve">                     | Count                 |</w:t>
        <w:br/>
        <w:t xml:space="preserve">                     | Total price           |</w:t>
        <w:br/>
        <w:t xml:space="preserve">                     | Stock Type            |</w:t>
        <w:br/>
        <w:t xml:space="preserve">                     | Order Type            |</w:t>
        <w:br/>
        <w:t xml:space="preserve">                     | Order Status          |</w:t>
        <w:br/>
        <w:t xml:space="preserve">                     +-----------------------+</w:t>
        <w:br/>
        <w:t>==================================================================================================</w:t>
        <w:br/>
        <w:t xml:space="preserve">                               FIGURE 2.1: Attribute and Cardinality Schema                       </w:t>
        <w:br/>
        <w:t>==================================================================================================</w:t>
      </w:r>
    </w:p>
    <w:p>
      <w:pPr>
        <w:jc w:val="center"/>
      </w:pPr>
      <w:r>
        <w:rPr>
          <w:i/>
        </w:rPr>
        <w:t>[Insert ER-Diagram Screenshot - Complete Visual Attribute Tree Hierarchy as designed in architecture layout]</w:t>
      </w:r>
    </w:p>
    <w:p>
      <w:pPr>
        <w:pStyle w:val="Heading2"/>
        <w:keepNext/>
        <w:spacing w:before="240" w:after="120"/>
      </w:pPr>
      <w:r>
        <w:rPr>
          <w:rFonts w:ascii="Arial" w:hAnsi="Arial"/>
          <w:b/>
          <w:color w:val="4A777A"/>
          <w:sz w:val="26"/>
        </w:rPr>
        <w:t>2.2 Granular Analysis of Architecture Entities</w:t>
      </w:r>
    </w:p>
    <w:p>
      <w:r>
        <w:t>The application core relies on four heavily integrated entity domains, each responsible for capturing specific transactional states:</w:t>
      </w:r>
    </w:p>
    <w:p>
      <w:pPr>
        <w:spacing w:line="360" w:lineRule="auto"/>
        <w:ind w:left="360"/>
      </w:pPr>
      <w:r>
        <w:rPr>
          <w:b/>
        </w:rPr>
        <w:t xml:space="preserve">1. Users Entity: </w:t>
      </w:r>
      <w:r>
        <w:t>Serves as the foundation for authentication and asset tracking. Each student, trader, or system administrator is uniquely tracked via a system-generated ID. Properties include security identifiers like the unique registration email, username strings, and custom user types (e.g., standard users vs administrative profiles). This entity handles the data isolation necessary to run isolated virtual portfolio segments across the shared cloud database container.</w:t>
      </w:r>
    </w:p>
    <w:p>
      <w:pPr>
        <w:spacing w:line="360" w:lineRule="auto"/>
        <w:ind w:left="360"/>
      </w:pPr>
      <w:r>
        <w:rPr>
          <w:b/>
        </w:rPr>
        <w:t xml:space="preserve">2. Stocks Entity: </w:t>
      </w:r>
      <w:r>
        <w:t>Manages portfolio holding information for active users. When a trader buys an equity position, the system generates or modifies a stock node. This node stores the asset index, tracking details like the ticker symbol, asset descriptor name, volume count, market price, calculated total asset valuation, and the sourcing clearing framework (Stock Exchange), such as the NYSE or NASDAQ.</w:t>
      </w:r>
    </w:p>
    <w:p>
      <w:pPr>
        <w:spacing w:line="360" w:lineRule="auto"/>
        <w:ind w:left="360"/>
      </w:pPr>
      <w:r>
        <w:rPr>
          <w:b/>
        </w:rPr>
        <w:t xml:space="preserve">3. Transactions Entity: </w:t>
      </w:r>
      <w:r>
        <w:t>Acts as an immutable operational ledger for auditing purposes. Every time a user changes their cash position, a permanent document is written here. It contains metadata tracking the user references, specific event categories (Buy, Sell, Deposit, Withdrawal), settlement method definitions, execution financial totals, and exact high-resolution timestamps.</w:t>
      </w:r>
    </w:p>
    <w:p>
      <w:pPr>
        <w:spacing w:line="360" w:lineRule="auto"/>
        <w:ind w:left="360"/>
      </w:pPr>
      <w:r>
        <w:rPr>
          <w:b/>
        </w:rPr>
        <w:t xml:space="preserve">4. Stocks Orders Entity: </w:t>
      </w:r>
      <w:r>
        <w:t>Handles real-time market execution mechanics. It captures short-term state variables, including targeted stock tickers, execution parameters, operational volume indicators, transaction directional values, pricing modes (e.g., immediate market fulfillment vs limit thresholds), and operational response signals (Pending, Filled, Cancelled).</w:t>
      </w:r>
    </w:p>
    <w:p>
      <w:pPr>
        <w:pStyle w:val="Heading2"/>
        <w:keepNext/>
        <w:spacing w:before="240" w:after="120"/>
      </w:pPr>
      <w:r>
        <w:rPr>
          <w:rFonts w:ascii="Arial" w:hAnsi="Arial"/>
          <w:b/>
          <w:color w:val="4A777A"/>
          <w:sz w:val="26"/>
        </w:rPr>
        <w:t>2.3 Entity Schema and Attribute Maps</w:t>
      </w:r>
    </w:p>
    <w:p>
      <w:r>
        <w:t>The structural attributes, formatting rules, and functional roles mapped inside the schema are detailed in the tables below:</w:t>
      </w:r>
    </w:p>
    <w:p>
      <w:pPr>
        <w:pStyle w:val="Heading3"/>
        <w:keepNext/>
        <w:spacing w:before="240" w:after="120"/>
      </w:pPr>
      <w:r>
        <w:rPr>
          <w:rFonts w:ascii="Arial" w:hAnsi="Arial"/>
          <w:b/>
          <w:i/>
          <w:color w:val="333333"/>
          <w:sz w:val="22"/>
        </w:rPr>
        <w:t>2.3.1 Users Schema Fields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Attribute</w:t>
            </w:r>
          </w:p>
        </w:tc>
        <w:tc>
          <w:tcPr>
            <w:tcW w:type="dxa" w:w="3120"/>
            <w:shd w:fill="1B365D"/>
          </w:tcPr>
          <w:p>
            <w:r>
              <w:rPr>
                <w:b/>
                <w:color w:val="FFFFFF"/>
              </w:rPr>
              <w:t>Logical Classification</w:t>
            </w:r>
          </w:p>
        </w:tc>
        <w:tc>
          <w:tcPr>
            <w:tcW w:type="dxa" w:w="3120"/>
            <w:shd w:fill="1B365D"/>
          </w:tcPr>
          <w:p>
            <w:r>
              <w:rPr>
                <w:b/>
                <w:color w:val="FFFFFF"/>
              </w:rPr>
              <w:t>System Purpose &amp; Formatting Constraints</w:t>
            </w:r>
          </w:p>
        </w:tc>
      </w:tr>
      <w:tr>
        <w:tc>
          <w:tcPr>
            <w:tcW w:type="dxa" w:w="3120"/>
            <w:tcMar>
              <w:top w:w="60" w:type="dxa"/>
              <w:bottom w:w="60" w:type="dxa"/>
              <w:left w:w="80" w:type="dxa"/>
              <w:right w:w="80" w:type="dxa"/>
            </w:tcMar>
          </w:tcPr>
          <w:p>
            <w:r>
              <w:t>_id</w:t>
            </w:r>
          </w:p>
        </w:tc>
        <w:tc>
          <w:tcPr>
            <w:tcW w:type="dxa" w:w="3120"/>
            <w:tcMar>
              <w:top w:w="60" w:type="dxa"/>
              <w:bottom w:w="60" w:type="dxa"/>
              <w:left w:w="80" w:type="dxa"/>
              <w:right w:w="80" w:type="dxa"/>
            </w:tcMar>
          </w:tcPr>
          <w:p>
            <w:r>
              <w:t>Primary Key (BSON ObjectId)</w:t>
            </w:r>
          </w:p>
        </w:tc>
        <w:tc>
          <w:tcPr>
            <w:tcW w:type="dxa" w:w="3120"/>
            <w:tcMar>
              <w:top w:w="60" w:type="dxa"/>
              <w:bottom w:w="60" w:type="dxa"/>
              <w:left w:w="80" w:type="dxa"/>
              <w:right w:w="80" w:type="dxa"/>
            </w:tcMar>
          </w:tcPr>
          <w:p>
            <w:r>
              <w:t>Auto-generated unique tracking token for identity isolation.</w:t>
            </w:r>
          </w:p>
        </w:tc>
      </w:tr>
      <w:tr>
        <w:tc>
          <w:tcPr>
            <w:tcW w:type="dxa" w:w="3120"/>
            <w:tcMar>
              <w:top w:w="60" w:type="dxa"/>
              <w:bottom w:w="60" w:type="dxa"/>
              <w:left w:w="80" w:type="dxa"/>
              <w:right w:w="80" w:type="dxa"/>
            </w:tcMar>
            <w:shd w:fill="F5F7FA"/>
          </w:tcPr>
          <w:p>
            <w:r>
              <w:t>Username</w:t>
            </w:r>
          </w:p>
        </w:tc>
        <w:tc>
          <w:tcPr>
            <w:tcW w:type="dxa" w:w="3120"/>
            <w:tcMar>
              <w:top w:w="60" w:type="dxa"/>
              <w:bottom w:w="60" w:type="dxa"/>
              <w:left w:w="80" w:type="dxa"/>
              <w:right w:w="80" w:type="dxa"/>
            </w:tcMar>
            <w:shd w:fill="F5F7FA"/>
          </w:tcPr>
          <w:p>
            <w:r>
              <w:t>String Profile Data</w:t>
            </w:r>
          </w:p>
        </w:tc>
        <w:tc>
          <w:tcPr>
            <w:tcW w:type="dxa" w:w="3120"/>
            <w:tcMar>
              <w:top w:w="60" w:type="dxa"/>
              <w:bottom w:w="60" w:type="dxa"/>
              <w:left w:w="80" w:type="dxa"/>
              <w:right w:w="80" w:type="dxa"/>
            </w:tcMar>
            <w:shd w:fill="F5F7FA"/>
          </w:tcPr>
          <w:p>
            <w:r>
              <w:t>Alphanumeric text tracking the user display identity.</w:t>
            </w:r>
          </w:p>
        </w:tc>
      </w:tr>
      <w:tr>
        <w:tc>
          <w:tcPr>
            <w:tcW w:type="dxa" w:w="3120"/>
            <w:tcMar>
              <w:top w:w="60" w:type="dxa"/>
              <w:bottom w:w="60" w:type="dxa"/>
              <w:left w:w="80" w:type="dxa"/>
              <w:right w:w="80" w:type="dxa"/>
            </w:tcMar>
          </w:tcPr>
          <w:p>
            <w:r>
              <w:t>email</w:t>
            </w:r>
          </w:p>
        </w:tc>
        <w:tc>
          <w:tcPr>
            <w:tcW w:type="dxa" w:w="3120"/>
            <w:tcMar>
              <w:top w:w="60" w:type="dxa"/>
              <w:bottom w:w="60" w:type="dxa"/>
              <w:left w:w="80" w:type="dxa"/>
              <w:right w:w="80" w:type="dxa"/>
            </w:tcMar>
          </w:tcPr>
          <w:p>
            <w:r>
              <w:t>String Index</w:t>
            </w:r>
          </w:p>
        </w:tc>
        <w:tc>
          <w:tcPr>
            <w:tcW w:type="dxa" w:w="3120"/>
            <w:tcMar>
              <w:top w:w="60" w:type="dxa"/>
              <w:bottom w:w="60" w:type="dxa"/>
              <w:left w:w="80" w:type="dxa"/>
              <w:right w:w="80" w:type="dxa"/>
            </w:tcMar>
          </w:tcPr>
          <w:p>
            <w:r>
              <w:t>Unique email identifier enforced via regex validation.</w:t>
            </w:r>
          </w:p>
        </w:tc>
      </w:tr>
      <w:tr>
        <w:tc>
          <w:tcPr>
            <w:tcW w:type="dxa" w:w="3120"/>
            <w:tcMar>
              <w:top w:w="60" w:type="dxa"/>
              <w:bottom w:w="60" w:type="dxa"/>
              <w:left w:w="80" w:type="dxa"/>
              <w:right w:w="80" w:type="dxa"/>
            </w:tcMar>
            <w:shd w:fill="F5F7FA"/>
          </w:tcPr>
          <w:p>
            <w:r>
              <w:t>password</w:t>
            </w:r>
          </w:p>
        </w:tc>
        <w:tc>
          <w:tcPr>
            <w:tcW w:type="dxa" w:w="3120"/>
            <w:tcMar>
              <w:top w:w="60" w:type="dxa"/>
              <w:bottom w:w="60" w:type="dxa"/>
              <w:left w:w="80" w:type="dxa"/>
              <w:right w:w="80" w:type="dxa"/>
            </w:tcMar>
            <w:shd w:fill="F5F7FA"/>
          </w:tcPr>
          <w:p>
            <w:r>
              <w:t>Encrypted String</w:t>
            </w:r>
          </w:p>
        </w:tc>
        <w:tc>
          <w:tcPr>
            <w:tcW w:type="dxa" w:w="3120"/>
            <w:tcMar>
              <w:top w:w="60" w:type="dxa"/>
              <w:bottom w:w="60" w:type="dxa"/>
              <w:left w:w="80" w:type="dxa"/>
              <w:right w:w="80" w:type="dxa"/>
            </w:tcMar>
            <w:shd w:fill="F5F7FA"/>
          </w:tcPr>
          <w:p>
            <w:r>
              <w:t>Hashed credential layer handled via backend bcrypt salting.</w:t>
            </w:r>
          </w:p>
        </w:tc>
      </w:tr>
      <w:tr>
        <w:tc>
          <w:tcPr>
            <w:tcW w:type="dxa" w:w="3120"/>
            <w:tcMar>
              <w:top w:w="60" w:type="dxa"/>
              <w:bottom w:w="60" w:type="dxa"/>
              <w:left w:w="80" w:type="dxa"/>
              <w:right w:w="80" w:type="dxa"/>
            </w:tcMar>
          </w:tcPr>
          <w:p>
            <w:r>
              <w:t>UserType</w:t>
            </w:r>
          </w:p>
        </w:tc>
        <w:tc>
          <w:tcPr>
            <w:tcW w:type="dxa" w:w="3120"/>
            <w:tcMar>
              <w:top w:w="60" w:type="dxa"/>
              <w:bottom w:w="60" w:type="dxa"/>
              <w:left w:w="80" w:type="dxa"/>
              <w:right w:w="80" w:type="dxa"/>
            </w:tcMar>
          </w:tcPr>
          <w:p>
            <w:r>
              <w:t>Enumerated Value</w:t>
            </w:r>
          </w:p>
        </w:tc>
        <w:tc>
          <w:tcPr>
            <w:tcW w:type="dxa" w:w="3120"/>
            <w:tcMar>
              <w:top w:w="60" w:type="dxa"/>
              <w:bottom w:w="60" w:type="dxa"/>
              <w:left w:w="80" w:type="dxa"/>
              <w:right w:w="80" w:type="dxa"/>
            </w:tcMar>
          </w:tcPr>
          <w:p>
            <w:r>
              <w:t>System role validation, distinguishing standard traders from administrators.</w:t>
            </w:r>
          </w:p>
        </w:tc>
      </w:tr>
    </w:tbl>
    <w:p>
      <w:pPr>
        <w:pStyle w:val="Heading3"/>
        <w:keepNext/>
        <w:spacing w:before="240" w:after="120"/>
      </w:pPr>
      <w:r>
        <w:rPr>
          <w:rFonts w:ascii="Arial" w:hAnsi="Arial"/>
          <w:b/>
          <w:i/>
          <w:color w:val="333333"/>
          <w:sz w:val="22"/>
        </w:rPr>
        <w:t>2.3.2 Stocks Orders Schema Fields</w:t>
      </w:r>
    </w:p>
    <w:tbl>
      <w:tblPr>
        <w:tblW w:type="auto" w:w="0"/>
        <w:jc w:val="center"/>
        <w:tblLook w:firstColumn="1" w:firstRow="1" w:lastColumn="0" w:lastRow="0" w:noHBand="0" w:noVBand="1" w:val="04A0"/>
      </w:tblPr>
      <w:tblGrid>
        <w:gridCol w:w="3120"/>
        <w:gridCol w:w="3120"/>
        <w:gridCol w:w="3120"/>
      </w:tblGrid>
      <w:tr>
        <w:tc>
          <w:tcPr>
            <w:tcW w:type="dxa" w:w="3120"/>
            <w:shd w:fill="4A777A"/>
          </w:tcPr>
          <w:p>
            <w:r>
              <w:rPr>
                <w:b/>
                <w:color w:val="FFFFFF"/>
              </w:rPr>
              <w:t>Attribute</w:t>
            </w:r>
          </w:p>
        </w:tc>
        <w:tc>
          <w:tcPr>
            <w:tcW w:type="dxa" w:w="3120"/>
            <w:shd w:fill="4A777A"/>
          </w:tcPr>
          <w:p>
            <w:r>
              <w:rPr>
                <w:b/>
                <w:color w:val="FFFFFF"/>
              </w:rPr>
              <w:t>Logical Classification</w:t>
            </w:r>
          </w:p>
        </w:tc>
        <w:tc>
          <w:tcPr>
            <w:tcW w:type="dxa" w:w="3120"/>
            <w:shd w:fill="4A777A"/>
          </w:tcPr>
          <w:p>
            <w:r>
              <w:rPr>
                <w:b/>
                <w:color w:val="FFFFFF"/>
              </w:rPr>
              <w:t>System Purpose &amp; Formatting Constraints</w:t>
            </w:r>
          </w:p>
        </w:tc>
      </w:tr>
      <w:tr>
        <w:tc>
          <w:tcPr>
            <w:tcW w:type="dxa" w:w="3120"/>
            <w:tcMar>
              <w:top w:w="60" w:type="dxa"/>
              <w:bottom w:w="60" w:type="dxa"/>
              <w:left w:w="80" w:type="dxa"/>
              <w:right w:w="80" w:type="dxa"/>
            </w:tcMar>
          </w:tcPr>
          <w:p>
            <w:r>
              <w:t>_id</w:t>
            </w:r>
          </w:p>
        </w:tc>
        <w:tc>
          <w:tcPr>
            <w:tcW w:type="dxa" w:w="3120"/>
            <w:tcMar>
              <w:top w:w="60" w:type="dxa"/>
              <w:bottom w:w="60" w:type="dxa"/>
              <w:left w:w="80" w:type="dxa"/>
              <w:right w:w="80" w:type="dxa"/>
            </w:tcMar>
          </w:tcPr>
          <w:p>
            <w:r>
              <w:t>Primary Key</w:t>
            </w:r>
          </w:p>
        </w:tc>
        <w:tc>
          <w:tcPr>
            <w:tcW w:type="dxa" w:w="3120"/>
            <w:tcMar>
              <w:top w:w="60" w:type="dxa"/>
              <w:bottom w:w="60" w:type="dxa"/>
              <w:left w:w="80" w:type="dxa"/>
              <w:right w:w="80" w:type="dxa"/>
            </w:tcMar>
          </w:tcPr>
          <w:p>
            <w:r>
              <w:t>Unique identifier tracking order fulfillment records.</w:t>
            </w:r>
          </w:p>
        </w:tc>
      </w:tr>
      <w:tr>
        <w:tc>
          <w:tcPr>
            <w:tcW w:type="dxa" w:w="3120"/>
            <w:tcMar>
              <w:top w:w="60" w:type="dxa"/>
              <w:bottom w:w="60" w:type="dxa"/>
              <w:left w:w="80" w:type="dxa"/>
              <w:right w:w="80" w:type="dxa"/>
            </w:tcMar>
            <w:shd w:fill="F5F7FA"/>
          </w:tcPr>
          <w:p>
            <w:r>
              <w:t>Userid</w:t>
            </w:r>
          </w:p>
        </w:tc>
        <w:tc>
          <w:tcPr>
            <w:tcW w:type="dxa" w:w="3120"/>
            <w:tcMar>
              <w:top w:w="60" w:type="dxa"/>
              <w:bottom w:w="60" w:type="dxa"/>
              <w:left w:w="80" w:type="dxa"/>
              <w:right w:w="80" w:type="dxa"/>
            </w:tcMar>
            <w:shd w:fill="F5F7FA"/>
          </w:tcPr>
          <w:p>
            <w:r>
              <w:t>Foreign Key Reference</w:t>
            </w:r>
          </w:p>
        </w:tc>
        <w:tc>
          <w:tcPr>
            <w:tcW w:type="dxa" w:w="3120"/>
            <w:tcMar>
              <w:top w:w="60" w:type="dxa"/>
              <w:bottom w:w="60" w:type="dxa"/>
              <w:left w:w="80" w:type="dxa"/>
              <w:right w:w="80" w:type="dxa"/>
            </w:tcMar>
            <w:shd w:fill="F5F7FA"/>
          </w:tcPr>
          <w:p>
            <w:r>
              <w:t>Maps order execution directly back to the sourcing profile registration.</w:t>
            </w:r>
          </w:p>
        </w:tc>
      </w:tr>
      <w:tr>
        <w:tc>
          <w:tcPr>
            <w:tcW w:type="dxa" w:w="3120"/>
            <w:tcMar>
              <w:top w:w="60" w:type="dxa"/>
              <w:bottom w:w="60" w:type="dxa"/>
              <w:left w:w="80" w:type="dxa"/>
              <w:right w:w="80" w:type="dxa"/>
            </w:tcMar>
          </w:tcPr>
          <w:p>
            <w:r>
              <w:t>Stock Symbol</w:t>
            </w:r>
          </w:p>
        </w:tc>
        <w:tc>
          <w:tcPr>
            <w:tcW w:type="dxa" w:w="3120"/>
            <w:tcMar>
              <w:top w:w="60" w:type="dxa"/>
              <w:bottom w:w="60" w:type="dxa"/>
              <w:left w:w="80" w:type="dxa"/>
              <w:right w:w="80" w:type="dxa"/>
            </w:tcMar>
          </w:tcPr>
          <w:p>
            <w:r>
              <w:t>String Ticker</w:t>
            </w:r>
          </w:p>
        </w:tc>
        <w:tc>
          <w:tcPr>
            <w:tcW w:type="dxa" w:w="3120"/>
            <w:tcMar>
              <w:top w:w="60" w:type="dxa"/>
              <w:bottom w:w="60" w:type="dxa"/>
              <w:left w:w="80" w:type="dxa"/>
              <w:right w:w="80" w:type="dxa"/>
            </w:tcMar>
          </w:tcPr>
          <w:p>
            <w:r>
              <w:t>Uppercase market symbol reference (e.g., TSLA, AMZN).</w:t>
            </w:r>
          </w:p>
        </w:tc>
      </w:tr>
      <w:tr>
        <w:tc>
          <w:tcPr>
            <w:tcW w:type="dxa" w:w="3120"/>
            <w:tcMar>
              <w:top w:w="60" w:type="dxa"/>
              <w:bottom w:w="60" w:type="dxa"/>
              <w:left w:w="80" w:type="dxa"/>
              <w:right w:w="80" w:type="dxa"/>
            </w:tcMar>
            <w:shd w:fill="F5F7FA"/>
          </w:tcPr>
          <w:p>
            <w:r>
              <w:t>Stock name</w:t>
            </w:r>
          </w:p>
        </w:tc>
        <w:tc>
          <w:tcPr>
            <w:tcW w:type="dxa" w:w="3120"/>
            <w:tcMar>
              <w:top w:w="60" w:type="dxa"/>
              <w:bottom w:w="60" w:type="dxa"/>
              <w:left w:w="80" w:type="dxa"/>
              <w:right w:w="80" w:type="dxa"/>
            </w:tcMar>
            <w:shd w:fill="F5F7FA"/>
          </w:tcPr>
          <w:p>
            <w:r>
              <w:t>String Descriptor</w:t>
            </w:r>
          </w:p>
        </w:tc>
        <w:tc>
          <w:tcPr>
            <w:tcW w:type="dxa" w:w="3120"/>
            <w:tcMar>
              <w:top w:w="60" w:type="dxa"/>
              <w:bottom w:w="60" w:type="dxa"/>
              <w:left w:w="80" w:type="dxa"/>
              <w:right w:w="80" w:type="dxa"/>
            </w:tcMar>
            <w:shd w:fill="F5F7FA"/>
          </w:tcPr>
          <w:p>
            <w:r>
              <w:t>Full legal company name for clear interface rendering.</w:t>
            </w:r>
          </w:p>
        </w:tc>
      </w:tr>
      <w:tr>
        <w:tc>
          <w:tcPr>
            <w:tcW w:type="dxa" w:w="3120"/>
            <w:tcMar>
              <w:top w:w="60" w:type="dxa"/>
              <w:bottom w:w="60" w:type="dxa"/>
              <w:left w:w="80" w:type="dxa"/>
              <w:right w:w="80" w:type="dxa"/>
            </w:tcMar>
          </w:tcPr>
          <w:p>
            <w:r>
              <w:t>Price</w:t>
            </w:r>
          </w:p>
        </w:tc>
        <w:tc>
          <w:tcPr>
            <w:tcW w:type="dxa" w:w="3120"/>
            <w:tcMar>
              <w:top w:w="60" w:type="dxa"/>
              <w:bottom w:w="60" w:type="dxa"/>
              <w:left w:w="80" w:type="dxa"/>
              <w:right w:w="80" w:type="dxa"/>
            </w:tcMar>
          </w:tcPr>
          <w:p>
            <w:r>
              <w:t>Float / Decimal</w:t>
            </w:r>
          </w:p>
        </w:tc>
        <w:tc>
          <w:tcPr>
            <w:tcW w:type="dxa" w:w="3120"/>
            <w:tcMar>
              <w:top w:w="60" w:type="dxa"/>
              <w:bottom w:w="60" w:type="dxa"/>
              <w:left w:w="80" w:type="dxa"/>
              <w:right w:w="80" w:type="dxa"/>
            </w:tcMar>
          </w:tcPr>
          <w:p>
            <w:r>
              <w:t>Execution price per unit fetched from real-time data providers.</w:t>
            </w:r>
          </w:p>
        </w:tc>
      </w:tr>
      <w:tr>
        <w:tc>
          <w:tcPr>
            <w:tcW w:type="dxa" w:w="3120"/>
            <w:tcMar>
              <w:top w:w="60" w:type="dxa"/>
              <w:bottom w:w="60" w:type="dxa"/>
              <w:left w:w="80" w:type="dxa"/>
              <w:right w:w="80" w:type="dxa"/>
            </w:tcMar>
            <w:shd w:fill="F5F7FA"/>
          </w:tcPr>
          <w:p>
            <w:r>
              <w:t>Count</w:t>
            </w:r>
          </w:p>
        </w:tc>
        <w:tc>
          <w:tcPr>
            <w:tcW w:type="dxa" w:w="3120"/>
            <w:tcMar>
              <w:top w:w="60" w:type="dxa"/>
              <w:bottom w:w="60" w:type="dxa"/>
              <w:left w:w="80" w:type="dxa"/>
              <w:right w:w="80" w:type="dxa"/>
            </w:tcMar>
            <w:shd w:fill="F5F7FA"/>
          </w:tcPr>
          <w:p>
            <w:r>
              <w:t>Integer Value</w:t>
            </w:r>
          </w:p>
        </w:tc>
        <w:tc>
          <w:tcPr>
            <w:tcW w:type="dxa" w:w="3120"/>
            <w:tcMar>
              <w:top w:w="60" w:type="dxa"/>
              <w:bottom w:w="60" w:type="dxa"/>
              <w:left w:w="80" w:type="dxa"/>
              <w:right w:w="80" w:type="dxa"/>
            </w:tcMar>
            <w:shd w:fill="F5F7FA"/>
          </w:tcPr>
          <w:p>
            <w:r>
              <w:t>Quantity of shares requested for purchase or sale.</w:t>
            </w:r>
          </w:p>
        </w:tc>
      </w:tr>
      <w:tr>
        <w:tc>
          <w:tcPr>
            <w:tcW w:type="dxa" w:w="3120"/>
            <w:tcMar>
              <w:top w:w="60" w:type="dxa"/>
              <w:bottom w:w="60" w:type="dxa"/>
              <w:left w:w="80" w:type="dxa"/>
              <w:right w:w="80" w:type="dxa"/>
            </w:tcMar>
          </w:tcPr>
          <w:p>
            <w:r>
              <w:t>Total price</w:t>
            </w:r>
          </w:p>
        </w:tc>
        <w:tc>
          <w:tcPr>
            <w:tcW w:type="dxa" w:w="3120"/>
            <w:tcMar>
              <w:top w:w="60" w:type="dxa"/>
              <w:bottom w:w="60" w:type="dxa"/>
              <w:left w:w="80" w:type="dxa"/>
              <w:right w:w="80" w:type="dxa"/>
            </w:tcMar>
          </w:tcPr>
          <w:p>
            <w:r>
              <w:t>Calculated Decimal</w:t>
            </w:r>
          </w:p>
        </w:tc>
        <w:tc>
          <w:tcPr>
            <w:tcW w:type="dxa" w:w="3120"/>
            <w:tcMar>
              <w:top w:w="60" w:type="dxa"/>
              <w:bottom w:w="60" w:type="dxa"/>
              <w:left w:w="80" w:type="dxa"/>
              <w:right w:w="80" w:type="dxa"/>
            </w:tcMar>
          </w:tcPr>
          <w:p>
            <w:r>
              <w:t>Mathematical product tracking total execution costs (Price x Count).</w:t>
            </w:r>
          </w:p>
        </w:tc>
      </w:tr>
      <w:tr>
        <w:tc>
          <w:tcPr>
            <w:tcW w:type="dxa" w:w="3120"/>
            <w:tcMar>
              <w:top w:w="60" w:type="dxa"/>
              <w:bottom w:w="60" w:type="dxa"/>
              <w:left w:w="80" w:type="dxa"/>
              <w:right w:w="80" w:type="dxa"/>
            </w:tcMar>
            <w:shd w:fill="F5F7FA"/>
          </w:tcPr>
          <w:p>
            <w:r>
              <w:t>Stock Type</w:t>
            </w:r>
          </w:p>
        </w:tc>
        <w:tc>
          <w:tcPr>
            <w:tcW w:type="dxa" w:w="3120"/>
            <w:tcMar>
              <w:top w:w="60" w:type="dxa"/>
              <w:bottom w:w="60" w:type="dxa"/>
              <w:left w:w="80" w:type="dxa"/>
              <w:right w:w="80" w:type="dxa"/>
            </w:tcMar>
            <w:shd w:fill="F5F7FA"/>
          </w:tcPr>
          <w:p>
            <w:r>
              <w:t>String Classification</w:t>
            </w:r>
          </w:p>
        </w:tc>
        <w:tc>
          <w:tcPr>
            <w:tcW w:type="dxa" w:w="3120"/>
            <w:tcMar>
              <w:top w:w="60" w:type="dxa"/>
              <w:bottom w:w="60" w:type="dxa"/>
              <w:left w:w="80" w:type="dxa"/>
              <w:right w:w="80" w:type="dxa"/>
            </w:tcMar>
            <w:shd w:fill="F5F7FA"/>
          </w:tcPr>
          <w:p>
            <w:r>
              <w:t>Differentiates equity variants, asset indices, or ETF trackers.</w:t>
            </w:r>
          </w:p>
        </w:tc>
      </w:tr>
      <w:tr>
        <w:tc>
          <w:tcPr>
            <w:tcW w:type="dxa" w:w="3120"/>
            <w:tcMar>
              <w:top w:w="60" w:type="dxa"/>
              <w:bottom w:w="60" w:type="dxa"/>
              <w:left w:w="80" w:type="dxa"/>
              <w:right w:w="80" w:type="dxa"/>
            </w:tcMar>
          </w:tcPr>
          <w:p>
            <w:r>
              <w:t>Order Type</w:t>
            </w:r>
          </w:p>
        </w:tc>
        <w:tc>
          <w:tcPr>
            <w:tcW w:type="dxa" w:w="3120"/>
            <w:tcMar>
              <w:top w:w="60" w:type="dxa"/>
              <w:bottom w:w="60" w:type="dxa"/>
              <w:left w:w="80" w:type="dxa"/>
              <w:right w:w="80" w:type="dxa"/>
            </w:tcMar>
          </w:tcPr>
          <w:p>
            <w:r>
              <w:t>Enumerated Class</w:t>
            </w:r>
          </w:p>
        </w:tc>
        <w:tc>
          <w:tcPr>
            <w:tcW w:type="dxa" w:w="3120"/>
            <w:tcMar>
              <w:top w:w="60" w:type="dxa"/>
              <w:bottom w:w="60" w:type="dxa"/>
              <w:left w:w="80" w:type="dxa"/>
              <w:right w:w="80" w:type="dxa"/>
            </w:tcMar>
          </w:tcPr>
          <w:p>
            <w:r>
              <w:t>Fulfillment strategy tracker, including Market, Limit, or Stop-loss modes.</w:t>
            </w:r>
          </w:p>
        </w:tc>
      </w:tr>
      <w:tr>
        <w:tc>
          <w:tcPr>
            <w:tcW w:type="dxa" w:w="3120"/>
            <w:tcMar>
              <w:top w:w="60" w:type="dxa"/>
              <w:bottom w:w="60" w:type="dxa"/>
              <w:left w:w="80" w:type="dxa"/>
              <w:right w:w="80" w:type="dxa"/>
            </w:tcMar>
            <w:shd w:fill="F5F7FA"/>
          </w:tcPr>
          <w:p>
            <w:r>
              <w:t>Order Status</w:t>
            </w:r>
          </w:p>
        </w:tc>
        <w:tc>
          <w:tcPr>
            <w:tcW w:type="dxa" w:w="3120"/>
            <w:tcMar>
              <w:top w:w="60" w:type="dxa"/>
              <w:bottom w:w="60" w:type="dxa"/>
              <w:left w:w="80" w:type="dxa"/>
              <w:right w:w="80" w:type="dxa"/>
            </w:tcMar>
            <w:shd w:fill="F5F7FA"/>
          </w:tcPr>
          <w:p>
            <w:r>
              <w:t>State Tracking Enum</w:t>
            </w:r>
          </w:p>
        </w:tc>
        <w:tc>
          <w:tcPr>
            <w:tcW w:type="dxa" w:w="3120"/>
            <w:tcMar>
              <w:top w:w="60" w:type="dxa"/>
              <w:bottom w:w="60" w:type="dxa"/>
              <w:left w:w="80" w:type="dxa"/>
              <w:right w:w="80" w:type="dxa"/>
            </w:tcMar>
            <w:shd w:fill="F5F7FA"/>
          </w:tcPr>
          <w:p>
            <w:r>
              <w:t>Tracks order status transitions (Pending, Filled, Rejected).</w:t>
            </w:r>
          </w:p>
        </w:tc>
      </w:tr>
    </w:tbl>
    <w:p>
      <w:pPr>
        <w:pStyle w:val="Heading2"/>
        <w:keepNext/>
        <w:spacing w:before="240" w:after="120"/>
      </w:pPr>
      <w:r>
        <w:rPr>
          <w:rFonts w:ascii="Arial" w:hAnsi="Arial"/>
          <w:b/>
          <w:color w:val="4A777A"/>
          <w:sz w:val="26"/>
        </w:rPr>
        <w:t>2.4 Cardinality and Real-World Application Logic</w:t>
      </w:r>
    </w:p>
    <w:p>
      <w:pPr>
        <w:spacing w:line="360" w:lineRule="auto"/>
      </w:pPr>
      <w:r>
        <w:t xml:space="preserve">The physical layout maps real-world stock market rules into software behaviors. A critical design feature is the relationship between </w:t>
      </w:r>
      <w:r>
        <w:t>Users</w:t>
      </w:r>
      <w:r>
        <w:t xml:space="preserve"> and </w:t>
      </w:r>
      <w:r>
        <w:t>Transactions</w:t>
      </w:r>
      <w:r>
        <w:t>. This relationship follows a one-to-many (1:N) cardinality pattern. A single user can execute countless buy/sell orders over time, creating a growing list of ledger records. By structuring the transaction collection with an indexing mechanism built on the user foreign key reference, the backend API can pull a user's entire trading history instantly without needing to scan unrelated records across the cloud database cluster.</w:t>
        <w:br/>
        <w:br/>
      </w:r>
      <w:r>
        <w:t>Similarly, the interaction between order logs and active assets follows a structured layout. When an order transitions to a 'Filled' status, the backend order engine executes an atomic modification. It recalculates the portfolio's weighted average cost using standard formulas, updates the cash balance, and creates a clear trace of trading activity. This ensures data consistency across all user views and guarantees that wallet balances and stock holdings remain perfectly synchronized during trading simulations.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