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160"/>
      </w:pPr>
      <w:r>
        <w:rPr>
          <w:rFonts w:ascii="Arial" w:hAnsi="Arial"/>
          <w:b/>
          <w:color w:val="1B365D"/>
          <w:sz w:val="32"/>
        </w:rPr>
        <w:t>1. SYSTEM CORE FEATURES SPECIFICATION</w:t>
      </w:r>
    </w:p>
    <w:p>
      <w:pPr>
        <w:spacing w:line="360" w:lineRule="auto" w:after="240"/>
      </w:pPr>
      <w:r>
        <w:t xml:space="preserve">This section defines the core functional specifications of the </w:t>
      </w:r>
      <w:r>
        <w:rPr>
          <w:b/>
        </w:rPr>
        <w:t>SB Stocks – Virtual Stock Trading Simulator</w:t>
      </w:r>
      <w:r>
        <w:t xml:space="preserve">, as systematically evaluated and tracked by team member </w:t>
      </w:r>
      <w:r>
        <w:rPr>
          <w:b/>
        </w:rPr>
        <w:t>Bhuvanesh Jujare</w:t>
      </w:r>
      <w:r>
        <w:t>. Understanding the operational features is critical for designing the software architecture, defining validation pipelines, and configuring cloud storage systems. The system features modular components that handle user authentication, real-time market streams, portfolio calculations, historical analysis tools, and comprehensive data matrices to provide a realistic, zero-risk financial environment.</w:t>
      </w:r>
    </w:p>
    <w:p>
      <w:pPr>
        <w:pStyle w:val="Heading2"/>
        <w:keepNext/>
        <w:spacing w:before="360" w:after="160"/>
      </w:pPr>
      <w:r>
        <w:rPr>
          <w:rFonts w:ascii="Arial" w:hAnsi="Arial"/>
          <w:b/>
          <w:color w:val="4A777A"/>
          <w:sz w:val="26"/>
        </w:rPr>
        <w:t>1.1 Comprehensive Functional Feature Matrix</w:t>
      </w:r>
    </w:p>
    <w:p>
      <w:pPr>
        <w:spacing w:line="360" w:lineRule="auto" w:after="240"/>
      </w:pPr>
      <w:r>
        <w:t>The core capabilities documented inside the project specification dashboard image_46b67d.png have been detailed inside the technical analysis chart below. This chart maps each core feature domain to its technical implementation strategy and its functional impact within the simulated trading environment:</w:t>
      </w:r>
    </w:p>
    <w:tbl>
      <w:tblPr>
        <w:tblW w:type="auto" w:w="0"/>
        <w:jc w:val="center"/>
        <w:tblLook w:firstColumn="1" w:firstRow="1" w:lastColumn="0" w:lastRow="0" w:noHBand="0" w:noVBand="1" w:val="04A0"/>
      </w:tblPr>
      <w:tblGrid>
        <w:gridCol w:w="3120"/>
        <w:gridCol w:w="3120"/>
        <w:gridCol w:w="3120"/>
      </w:tblGrid>
      <w:tr>
        <w:tc>
          <w:tcPr>
            <w:tcW w:type="dxa" w:w="3120"/>
            <w:shd w:fill="1B365D"/>
          </w:tcPr>
          <w:p>
            <w:r>
              <w:rPr>
                <w:b/>
                <w:color w:val="FFFFFF"/>
              </w:rPr>
              <w:t>Core Feature Domain</w:t>
            </w:r>
          </w:p>
        </w:tc>
        <w:tc>
          <w:tcPr>
            <w:tcW w:type="dxa" w:w="3120"/>
            <w:shd w:fill="1B365D"/>
          </w:tcPr>
          <w:p>
            <w:r>
              <w:rPr>
                <w:b/>
                <w:color w:val="FFFFFF"/>
              </w:rPr>
              <w:t>Technical Implementation Strategy</w:t>
            </w:r>
          </w:p>
        </w:tc>
        <w:tc>
          <w:tcPr>
            <w:tcW w:type="dxa" w:w="3120"/>
            <w:shd w:fill="1B365D"/>
          </w:tcPr>
          <w:p>
            <w:r>
              <w:rPr>
                <w:b/>
                <w:color w:val="FFFFFF"/>
              </w:rPr>
              <w:t>Functional Value &amp; Educational Objective</w:t>
            </w:r>
          </w:p>
        </w:tc>
      </w:tr>
      <w:tr>
        <w:tc>
          <w:tcPr>
            <w:tcW w:type="dxa" w:w="3120"/>
            <w:tcMar>
              <w:top w:w="100" w:type="dxa"/>
              <w:bottom w:w="100" w:type="dxa"/>
              <w:left w:w="120" w:type="dxa"/>
              <w:right w:w="120" w:type="dxa"/>
            </w:tcMar>
          </w:tcPr>
          <w:p>
            <w:r>
              <w:t>User Registration &amp; Authentication</w:t>
            </w:r>
          </w:p>
        </w:tc>
        <w:tc>
          <w:tcPr>
            <w:tcW w:type="dxa" w:w="3120"/>
            <w:tcMar>
              <w:top w:w="100" w:type="dxa"/>
              <w:bottom w:w="100" w:type="dxa"/>
              <w:left w:w="120" w:type="dxa"/>
              <w:right w:w="120" w:type="dxa"/>
            </w:tcMar>
          </w:tcPr>
          <w:p>
            <w:r>
              <w:t>Stateless JSON Web Token (JWT) verification coupled with bcrypt encryption layers.</w:t>
            </w:r>
          </w:p>
        </w:tc>
        <w:tc>
          <w:tcPr>
            <w:tcW w:type="dxa" w:w="3120"/>
            <w:tcMar>
              <w:top w:w="100" w:type="dxa"/>
              <w:bottom w:w="100" w:type="dxa"/>
              <w:left w:w="120" w:type="dxa"/>
              <w:right w:w="120" w:type="dxa"/>
            </w:tcMar>
          </w:tcPr>
          <w:p>
            <w:r>
              <w:t>Protects user profiles and provides personalized data routing for individual simulated trading profiles.</w:t>
            </w:r>
          </w:p>
        </w:tc>
      </w:tr>
      <w:tr>
        <w:tc>
          <w:tcPr>
            <w:tcW w:type="dxa" w:w="3120"/>
            <w:tcMar>
              <w:top w:w="100" w:type="dxa"/>
              <w:bottom w:w="100" w:type="dxa"/>
              <w:left w:w="120" w:type="dxa"/>
              <w:right w:w="120" w:type="dxa"/>
            </w:tcMar>
            <w:shd w:fill="F5F7FA"/>
          </w:tcPr>
          <w:p>
            <w:r>
              <w:t>Real-Time Market Data</w:t>
            </w:r>
          </w:p>
        </w:tc>
        <w:tc>
          <w:tcPr>
            <w:tcW w:type="dxa" w:w="3120"/>
            <w:tcMar>
              <w:top w:w="100" w:type="dxa"/>
              <w:bottom w:w="100" w:type="dxa"/>
              <w:left w:w="120" w:type="dxa"/>
              <w:right w:w="120" w:type="dxa"/>
            </w:tcMar>
            <w:shd w:fill="F5F7FA"/>
          </w:tcPr>
          <w:p>
            <w:r>
              <w:t>Asynchronous HTTP integration with external market data streams.</w:t>
            </w:r>
          </w:p>
        </w:tc>
        <w:tc>
          <w:tcPr>
            <w:tcW w:type="dxa" w:w="3120"/>
            <w:tcMar>
              <w:top w:w="100" w:type="dxa"/>
              <w:bottom w:w="100" w:type="dxa"/>
              <w:left w:w="120" w:type="dxa"/>
              <w:right w:w="120" w:type="dxa"/>
            </w:tcMar>
            <w:shd w:fill="F5F7FA"/>
          </w:tcPr>
          <w:p>
            <w:r>
              <w:t>Delivers live, accurate pricing for US securities to simulate authentic stock trading dynamics.</w:t>
            </w:r>
          </w:p>
        </w:tc>
      </w:tr>
      <w:tr>
        <w:tc>
          <w:tcPr>
            <w:tcW w:type="dxa" w:w="3120"/>
            <w:tcMar>
              <w:top w:w="100" w:type="dxa"/>
              <w:bottom w:w="100" w:type="dxa"/>
              <w:left w:w="120" w:type="dxa"/>
              <w:right w:w="120" w:type="dxa"/>
            </w:tcMar>
          </w:tcPr>
          <w:p>
            <w:r>
              <w:t>Historical Data &amp; Trends</w:t>
            </w:r>
          </w:p>
        </w:tc>
        <w:tc>
          <w:tcPr>
            <w:tcW w:type="dxa" w:w="3120"/>
            <w:tcMar>
              <w:top w:w="100" w:type="dxa"/>
              <w:bottom w:w="100" w:type="dxa"/>
              <w:left w:w="120" w:type="dxa"/>
              <w:right w:w="120" w:type="dxa"/>
            </w:tcMar>
          </w:tcPr>
          <w:p>
            <w:r>
              <w:t>Time-series database structures indexed by asset ticker codes.</w:t>
            </w:r>
          </w:p>
        </w:tc>
        <w:tc>
          <w:tcPr>
            <w:tcW w:type="dxa" w:w="3120"/>
            <w:tcMar>
              <w:top w:w="100" w:type="dxa"/>
              <w:bottom w:w="100" w:type="dxa"/>
              <w:left w:w="120" w:type="dxa"/>
              <w:right w:w="120" w:type="dxa"/>
            </w:tcMar>
          </w:tcPr>
          <w:p>
            <w:r>
              <w:t>Allows users to examine long-term asset history to backtest investment strategies effectively.</w:t>
            </w:r>
          </w:p>
        </w:tc>
      </w:tr>
      <w:tr>
        <w:tc>
          <w:tcPr>
            <w:tcW w:type="dxa" w:w="3120"/>
            <w:tcMar>
              <w:top w:w="100" w:type="dxa"/>
              <w:bottom w:w="100" w:type="dxa"/>
              <w:left w:w="120" w:type="dxa"/>
              <w:right w:w="120" w:type="dxa"/>
            </w:tcMar>
            <w:shd w:fill="F5F7FA"/>
          </w:tcPr>
          <w:p>
            <w:r>
              <w:t>Virtual Portfolios</w:t>
            </w:r>
          </w:p>
        </w:tc>
        <w:tc>
          <w:tcPr>
            <w:tcW w:type="dxa" w:w="3120"/>
            <w:tcMar>
              <w:top w:w="100" w:type="dxa"/>
              <w:bottom w:w="100" w:type="dxa"/>
              <w:left w:w="120" w:type="dxa"/>
              <w:right w:w="120" w:type="dxa"/>
            </w:tcMar>
            <w:shd w:fill="F5F7FA"/>
          </w:tcPr>
          <w:p>
            <w:r>
              <w:t>Sub-document arrays within MongoDB to isolate asset groups.</w:t>
            </w:r>
          </w:p>
        </w:tc>
        <w:tc>
          <w:tcPr>
            <w:tcW w:type="dxa" w:w="3120"/>
            <w:tcMar>
              <w:top w:w="100" w:type="dxa"/>
              <w:bottom w:w="100" w:type="dxa"/>
              <w:left w:w="120" w:type="dxa"/>
              <w:right w:w="120" w:type="dxa"/>
            </w:tcMar>
            <w:shd w:fill="F5F7FA"/>
          </w:tcPr>
          <w:p>
            <w:r>
              <w:t>Enables simulated multi-portfolio management, letting users diversify test holdings and track parallel investment strategies.</w:t>
            </w:r>
          </w:p>
        </w:tc>
      </w:tr>
      <w:tr>
        <w:tc>
          <w:tcPr>
            <w:tcW w:type="dxa" w:w="3120"/>
            <w:tcMar>
              <w:top w:w="100" w:type="dxa"/>
              <w:bottom w:w="100" w:type="dxa"/>
              <w:left w:w="120" w:type="dxa"/>
              <w:right w:w="120" w:type="dxa"/>
            </w:tcMar>
          </w:tcPr>
          <w:p>
            <w:r>
              <w:t>Transaction Management</w:t>
            </w:r>
          </w:p>
        </w:tc>
        <w:tc>
          <w:tcPr>
            <w:tcW w:type="dxa" w:w="3120"/>
            <w:tcMar>
              <w:top w:w="100" w:type="dxa"/>
              <w:bottom w:w="100" w:type="dxa"/>
              <w:left w:w="120" w:type="dxa"/>
              <w:right w:w="120" w:type="dxa"/>
            </w:tcMar>
          </w:tcPr>
          <w:p>
            <w:r>
              <w:t>Atomic database ledgers linking transaction events to unique user IDs.</w:t>
            </w:r>
          </w:p>
        </w:tc>
        <w:tc>
          <w:tcPr>
            <w:tcW w:type="dxa" w:w="3120"/>
            <w:tcMar>
              <w:top w:w="100" w:type="dxa"/>
              <w:bottom w:w="100" w:type="dxa"/>
              <w:left w:w="120" w:type="dxa"/>
              <w:right w:w="120" w:type="dxa"/>
            </w:tcMar>
          </w:tcPr>
          <w:p>
            <w:r>
              <w:t>Creates permanent, auditable tracking records for all simulated buy and sell order actions.</w:t>
            </w:r>
          </w:p>
        </w:tc>
      </w:tr>
      <w:tr>
        <w:tc>
          <w:tcPr>
            <w:tcW w:type="dxa" w:w="3120"/>
            <w:tcMar>
              <w:top w:w="100" w:type="dxa"/>
              <w:bottom w:w="100" w:type="dxa"/>
              <w:left w:w="120" w:type="dxa"/>
              <w:right w:w="120" w:type="dxa"/>
            </w:tcMar>
            <w:shd w:fill="F5F7FA"/>
          </w:tcPr>
          <w:p>
            <w:r>
              <w:t>Comprehensive Stock Listings</w:t>
            </w:r>
          </w:p>
        </w:tc>
        <w:tc>
          <w:tcPr>
            <w:tcW w:type="dxa" w:w="3120"/>
            <w:tcMar>
              <w:top w:w="100" w:type="dxa"/>
              <w:bottom w:w="100" w:type="dxa"/>
              <w:left w:w="120" w:type="dxa"/>
              <w:right w:w="120" w:type="dxa"/>
            </w:tcMar>
            <w:shd w:fill="F5F7FA"/>
          </w:tcPr>
          <w:p>
            <w:r>
              <w:t>Dynamic indexing frameworks across major equity listings (NYSE/NASDAQ).</w:t>
            </w:r>
          </w:p>
        </w:tc>
        <w:tc>
          <w:tcPr>
            <w:tcW w:type="dxa" w:w="3120"/>
            <w:tcMar>
              <w:top w:w="100" w:type="dxa"/>
              <w:bottom w:w="100" w:type="dxa"/>
              <w:left w:w="120" w:type="dxa"/>
              <w:right w:w="120" w:type="dxa"/>
            </w:tcMar>
            <w:shd w:fill="F5F7FA"/>
          </w:tcPr>
          <w:p>
            <w:r>
              <w:t>Provides a comprehensive lookup directory, allowing users to discover and analyze diverse financial assets.</w:t>
            </w:r>
          </w:p>
        </w:tc>
      </w:tr>
      <w:tr>
        <w:tc>
          <w:tcPr>
            <w:tcW w:type="dxa" w:w="3120"/>
            <w:tcMar>
              <w:top w:w="100" w:type="dxa"/>
              <w:bottom w:w="100" w:type="dxa"/>
              <w:left w:w="120" w:type="dxa"/>
              <w:right w:w="120" w:type="dxa"/>
            </w:tcMar>
          </w:tcPr>
          <w:p>
            <w:r>
              <w:t>Strategy Testing &amp; Analysis</w:t>
            </w:r>
          </w:p>
        </w:tc>
        <w:tc>
          <w:tcPr>
            <w:tcW w:type="dxa" w:w="3120"/>
            <w:tcMar>
              <w:top w:w="100" w:type="dxa"/>
              <w:bottom w:w="100" w:type="dxa"/>
              <w:left w:w="120" w:type="dxa"/>
              <w:right w:w="120" w:type="dxa"/>
            </w:tcMar>
          </w:tcPr>
          <w:p>
            <w:r>
              <w:t>Mathematical computation layers to calculate weighted average costs.</w:t>
            </w:r>
          </w:p>
        </w:tc>
        <w:tc>
          <w:tcPr>
            <w:tcW w:type="dxa" w:w="3120"/>
            <w:tcMar>
              <w:top w:w="100" w:type="dxa"/>
              <w:bottom w:w="100" w:type="dxa"/>
              <w:left w:w="120" w:type="dxa"/>
              <w:right w:w="120" w:type="dxa"/>
            </w:tcMar>
          </w:tcPr>
          <w:p>
            <w:r>
              <w:t>Enables granular analysis of historical performance to refine trading logic and reduce execution risks.</w:t>
            </w:r>
          </w:p>
        </w:tc>
      </w:tr>
      <w:tr>
        <w:tc>
          <w:tcPr>
            <w:tcW w:type="dxa" w:w="3120"/>
            <w:tcMar>
              <w:top w:w="100" w:type="dxa"/>
              <w:bottom w:w="100" w:type="dxa"/>
              <w:left w:w="120" w:type="dxa"/>
              <w:right w:w="120" w:type="dxa"/>
            </w:tcMar>
            <w:shd w:fill="F5F7FA"/>
          </w:tcPr>
          <w:p>
            <w:r>
              <w:t>User-Friendly Interface</w:t>
            </w:r>
          </w:p>
        </w:tc>
        <w:tc>
          <w:tcPr>
            <w:tcW w:type="dxa" w:w="3120"/>
            <w:tcMar>
              <w:top w:w="100" w:type="dxa"/>
              <w:bottom w:w="100" w:type="dxa"/>
              <w:left w:w="120" w:type="dxa"/>
              <w:right w:w="120" w:type="dxa"/>
            </w:tcMar>
            <w:shd w:fill="F5F7FA"/>
          </w:tcPr>
          <w:p>
            <w:r>
              <w:t>Responsive styling using TailwindCSS alongside modular ShadCN UI blocks.</w:t>
            </w:r>
          </w:p>
        </w:tc>
        <w:tc>
          <w:tcPr>
            <w:tcW w:type="dxa" w:w="3120"/>
            <w:tcMar>
              <w:top w:w="100" w:type="dxa"/>
              <w:bottom w:w="100" w:type="dxa"/>
              <w:left w:w="120" w:type="dxa"/>
              <w:right w:w="120" w:type="dxa"/>
            </w:tcMar>
            <w:shd w:fill="F5F7FA"/>
          </w:tcPr>
          <w:p>
            <w:r>
              <w:t>Provides an intuitive interface that accommodates both beginner students and advanced traders.</w:t>
            </w:r>
          </w:p>
        </w:tc>
      </w:tr>
    </w:tbl>
    <w:p>
      <w:pPr>
        <w:spacing w:before="120" w:after="360"/>
        <w:jc w:val="center"/>
      </w:pPr>
      <w:r>
        <w:rPr>
          <w:i/>
          <w:sz w:val="20"/>
        </w:rPr>
        <w:t>Table 1.1: Functional Feature Implementation Matrix</w:t>
      </w:r>
    </w:p>
    <w:p>
      <w:pPr>
        <w:pStyle w:val="Heading2"/>
        <w:keepNext/>
        <w:spacing w:before="360" w:after="160"/>
      </w:pPr>
      <w:r>
        <w:rPr>
          <w:rFonts w:ascii="Arial" w:hAnsi="Arial"/>
          <w:b/>
          <w:color w:val="4A777A"/>
          <w:sz w:val="26"/>
        </w:rPr>
        <w:t>1.2 Structural Breakdown of Core Features</w:t>
      </w:r>
    </w:p>
    <w:p>
      <w:r>
        <w:t>The features specified inside the system dashboard correspond directly to the technical modules below:</w:t>
      </w:r>
    </w:p>
    <w:p>
      <w:pPr>
        <w:spacing w:line="360" w:lineRule="auto"/>
      </w:pPr>
      <w:r>
        <w:rPr>
          <w:b/>
        </w:rPr>
        <w:t xml:space="preserve">1. Security and User Access Subsystem: </w:t>
      </w:r>
      <w:r>
        <w:t>Handles secure sign-up and login processes by routing requests through cryptographic hashing pipelines. When a user creates an account, plain-text passwords are encrypted before being saved to the database. Upon verification, the platform returns a stateless access token to securely render personalized dashboards.</w:t>
      </w:r>
    </w:p>
    <w:p>
      <w:pPr>
        <w:spacing w:line="360" w:lineRule="auto"/>
      </w:pPr>
      <w:r>
        <w:rPr>
          <w:b/>
        </w:rPr>
        <w:t xml:space="preserve">2. Real-Time Data Streaming Core: </w:t>
      </w:r>
      <w:r>
        <w:t>Processes live stock market feeds to display real-time US asset prices and market trends. This module handles data extraction, caching, and distribution, minimizing request overhead while ensuring price details remain synchronized across the application.</w:t>
      </w:r>
    </w:p>
    <w:p>
      <w:pPr>
        <w:spacing w:line="360" w:lineRule="auto"/>
      </w:pPr>
      <w:r>
        <w:rPr>
          <w:b/>
        </w:rPr>
        <w:t xml:space="preserve">3. Historical Analytics and Performance Engine: </w:t>
      </w:r>
      <w:r>
        <w:t>Maintains historical asset data records, allowing users to review past market cycles and track asset movements over time. This enables comprehensive analysis and strategy testing before executing simulated market changes.</w:t>
      </w:r>
    </w:p>
    <w:p>
      <w:pPr>
        <w:spacing w:line="360" w:lineRule="auto"/>
      </w:pPr>
      <w:r>
        <w:rPr>
          <w:b/>
        </w:rPr>
        <w:t xml:space="preserve">4. Virtual Asset Allocation Portfolio Manager: </w:t>
      </w:r>
      <w:r>
        <w:t>Manages simulated investment allocations, supporting the creation and tracking of multiple distinct portfolios. It automatically aggregates asset data, calculates net valuation metrics, and tracks performance to report clear profit-and-loss changes.</w:t>
      </w:r>
    </w:p>
    <w:p>
      <w:pPr>
        <w:spacing w:line="360" w:lineRule="auto"/>
      </w:pPr>
      <w:r>
        <w:rPr>
          <w:b/>
        </w:rPr>
        <w:t xml:space="preserve">5. Transaction Logging Auditing Ledger: </w:t>
      </w:r>
      <w:r>
        <w:t>Maintains permanent transaction logs, recording all buy and sell actions alongside critical metadata such as share counts, execution prices, and precise timestamps. This ensures absolute data consistency across user portfolios.</w:t>
      </w:r>
    </w:p>
    <w:p>
      <w:pPr>
        <w:spacing w:line="360" w:lineRule="auto"/>
      </w:pPr>
      <w:r>
        <w:rPr>
          <w:b/>
        </w:rPr>
        <w:t xml:space="preserve">6. Comprehensive US Asset Directory: </w:t>
      </w:r>
      <w:r>
        <w:t>Provides an extensive asset lookup database covering the US equity markets. It offers robust search capabilities to help users find, filter, and track specific corporations or sectors quickly.</w:t>
      </w:r>
    </w:p>
    <w:p>
      <w:pPr>
        <w:spacing w:line="360" w:lineRule="auto"/>
      </w:pPr>
      <w:r>
        <w:rPr>
          <w:b/>
        </w:rPr>
        <w:t xml:space="preserve">7. Interface Presentation Framework: </w:t>
      </w:r>
      <w:r>
        <w:t>Delivers a fully responsive interface layout designed for both beginners and experienced traders. It simplifies complex order books and financial metrics into clear, actionable components across all device form factors.</w:t>
      </w:r>
    </w:p>
    <w:p>
      <w:r>
        <w:br w:type="page"/>
      </w:r>
    </w:p>
    <w:p>
      <w:pPr>
        <w:pStyle w:val="Heading2"/>
        <w:keepNext/>
        <w:spacing w:before="360" w:after="160"/>
      </w:pPr>
      <w:r>
        <w:rPr>
          <w:rFonts w:ascii="Arial" w:hAnsi="Arial"/>
          <w:b/>
          <w:color w:val="4A777A"/>
          <w:sz w:val="26"/>
        </w:rPr>
        <w:t>1.3 Real-World Application and Educational Simulation Value</w:t>
      </w:r>
    </w:p>
    <w:p>
      <w:pPr>
        <w:spacing w:line="360" w:lineRule="auto"/>
      </w:pPr>
      <w:r>
        <w:t>The core features of SB Stocks translate directly into practical educational benefits. By combining real-time US market price data with simulated currency controls, the platform removes the financial risks that often discourage beginners from exploring investment strategies. The virtual portfolio manager provides a safe sandbox environment to test diverse trading plans, analyze portfolio metrics, and observe how market changes impact overall holdings.</w:t>
        <w:br/>
        <w:br/>
        <w:t>Additionally, the transaction management ledger teaches users the importance of maintaining precise documentation. Every simulated transaction leaves a clear trace, helping users analyze past decisions and evaluate their trading rules objectively. The responsive interface helps users familiarize themselves with standard industry platform designs, building confidence and reducing the learning curve associated with modern trading systems.</w:t>
      </w:r>
    </w:p>
    <w:p>
      <w:pPr>
        <w:pStyle w:val="Heading2"/>
        <w:keepNext/>
        <w:spacing w:before="360" w:after="160"/>
      </w:pPr>
      <w:r>
        <w:rPr>
          <w:rFonts w:ascii="Arial" w:hAnsi="Arial"/>
          <w:b/>
          <w:color w:val="4A777A"/>
          <w:sz w:val="26"/>
        </w:rPr>
        <w:t>1.4 Architectural Flow of Core Features</w:t>
      </w:r>
    </w:p>
    <w:p>
      <w:pPr>
        <w:spacing w:before="160" w:after="160"/>
        <w:jc w:val="center"/>
      </w:pPr>
      <w:r>
        <w:rPr>
          <w:rFonts w:ascii="Courier New" w:hAnsi="Courier New"/>
          <w:b/>
          <w:color w:val="1B365D"/>
          <w:sz w:val="18"/>
        </w:rPr>
        <w:t>+-----------------------------------------------------------------------------------------+</w:t>
        <w:br/>
        <w:t>|                           CORE FEATURE PIPELINE INTERACTION GRAPH                       |</w:t>
        <w:br/>
        <w:t>+-----------------------------------------------------------------------------------------+</w:t>
        <w:br/>
        <w:t>|                                                                                         |</w:t>
        <w:br/>
        <w:t>|  [ USER GATEWAY ] ----&gt; [ JWT AUTHENTICATION GUARD ] ----&gt; [ PERSONALIZED DASHBOARD ]    |</w:t>
        <w:br/>
        <w:t>|                                                                    |                    |</w:t>
        <w:br/>
        <w:t>|                                                                    v                    |</w:t>
        <w:br/>
        <w:t>|  [ TRANSACTION ENGINE ] &lt;--- [ LIVE US MARKET DATA ] &lt;--- [ PORTFOLIO CORE MANAGER ]    |</w:t>
        <w:br/>
        <w:t>|            |                                                                            |</w:t>
        <w:br/>
        <w:t>|            v                                                                            |</w:t>
        <w:br/>
        <w:t>|  [ ATOMIC LEDGER LOG ] ----&gt; [ SCHEMATIC PERMANENT LOGS ] ----&gt; [ AUDIT HISTORY VIEWS ]  |</w:t>
        <w:br/>
        <w:t>|                                                                                         |</w:t>
        <w:br/>
        <w:t>+-----------------------------------------------------------------------------------------+</w:t>
        <w:br/>
        <w:t xml:space="preserve">                              FIGURE 1.1: Core Features System Data Pipeline</w:t>
      </w:r>
    </w:p>
    <w:p>
      <w:r>
        <w:br w:type="page"/>
      </w:r>
    </w:p>
    <w:p>
      <w:pPr>
        <w:pStyle w:val="Heading2"/>
        <w:keepNext/>
        <w:spacing w:before="360" w:after="160"/>
      </w:pPr>
      <w:r>
        <w:rPr>
          <w:rFonts w:ascii="Arial" w:hAnsi="Arial"/>
          <w:b/>
          <w:color w:val="4A777A"/>
          <w:sz w:val="26"/>
        </w:rPr>
        <w:t>1.5 Feature Verification and Traceability Rules</w:t>
      </w:r>
    </w:p>
    <w:p>
      <w:pPr>
        <w:spacing w:line="360" w:lineRule="auto"/>
      </w:pPr>
      <w:r>
        <w:t>To ensure all requirements map correctly to system execution layers, the platform follows strict traceability principles. Every feature described in the system matrix corresponds directly to a distinct module within our full-stack codebase. For example, the authentication requirements map to our JWT verification middleware, while portfolio allocation rules match our database schemas.</w:t>
        <w:br/>
        <w:br/>
        <w:t>This close integration guarantees that system operations remain predictable and verifiable during rigorous performance testing. By anchoring each feature to clear database constraints and controller rules, the platform prevents typical software errors such as negative cash balances or orphaned transaction logs. This level of technical oversight ensures the simulation remains stable, secure, and reliable across all user sessions.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