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MODEL-VIEW-CONTROLLER (MVC) PATTERN CONFIGURATION</w:t>
      </w:r>
    </w:p>
    <w:p>
      <w:pPr>
        <w:spacing w:line="360" w:lineRule="auto" w:after="240"/>
      </w:pPr>
      <w:r>
        <w:rPr>
          <w:i/>
        </w:rPr>
        <w:t xml:space="preserve">This section delivers a comprehensive technical analysis of the structural architectural lifecycle governed by the Model-View-Controller (MVC) software design pattern within the platform, as designed and tracked in the issue canvas panel </w:t>
      </w:r>
      <w:r>
        <w:rPr>
          <w:b/>
        </w:rPr>
        <w:t>image_472ebc.png</w:t>
      </w:r>
      <w:r>
        <w:t>. Enforcing a strict separation of concerns within full-stack applications is critical to ensure clean codebase modularity, isolate backend query sets from interface state trees, and achieve high system testability across independent development tiers. The MVC architectural configuration isolates business computations, data layers, and user layout rendering paths into three highly decoupled system domains.</w:t>
      </w:r>
    </w:p>
    <w:p>
      <w:pPr>
        <w:pStyle w:val="Heading2"/>
        <w:keepNext/>
        <w:spacing w:before="320" w:after="120"/>
      </w:pPr>
      <w:r>
        <w:rPr>
          <w:rFonts w:ascii="Arial" w:hAnsi="Arial"/>
          <w:b/>
          <w:color w:val="4A777A"/>
          <w:sz w:val="26"/>
        </w:rPr>
        <w:t>1.1 Schematic MVC Data Interaction Blueprint</w:t>
      </w:r>
    </w:p>
    <w:p>
      <w:pPr>
        <w:spacing w:line="360" w:lineRule="auto"/>
      </w:pPr>
      <w:r>
        <w:t>The component interaction diagram mapped within the engineering layout has been rendered into a highly descriptive programmatic text-based flowchart below. This map highlights the continuous unidirectional and bidirectional data processing sequences that occur when handling client requests:</w:t>
      </w:r>
    </w:p>
    <w:p>
      <w:pPr>
        <w:spacing w:before="120" w:after="120"/>
        <w:jc w:val="center"/>
      </w:pPr>
      <w:r>
        <w:rPr>
          <w:rFonts w:ascii="Courier New" w:hAnsi="Courier New"/>
          <w:b/>
          <w:color w:val="1B365D"/>
          <w:sz w:val="17"/>
        </w:rPr>
        <w:t>=========================================================================================</w:t>
        <w:br/>
        <w:t xml:space="preserve">                                   MVC COMPONENT DATA FLOW ARCHITECTURE                  </w:t>
        <w:br/>
        <w:t>=========================================================================================</w:t>
        <w:br/>
        <w:t xml:space="preserve">                                                                                         </w:t>
        <w:br/>
        <w:t xml:space="preserve">        [ CLIENT / USER INTERFACE ] &lt;================( Sends HTTP Request )===========+  </w:t>
        <w:br/>
        <w:t xml:space="preserve">                    ^                                                                 |  </w:t>
        <w:br/>
        <w:t xml:space="preserve">                    |                                                                 v  </w:t>
        <w:br/>
        <w:t xml:space="preserve">           ( Renders New State )                                            [ ROUTING PIPELINE ] </w:t>
        <w:br/>
        <w:t xml:space="preserve">                    |                                                                 |  </w:t>
        <w:br/>
        <w:t xml:space="preserve">                    +-----------------------+                                         v  </w:t>
        <w:br/>
        <w:t xml:space="preserve">                                            |                              [ EXPRESS CONTROLLERS ]</w:t>
        <w:br/>
        <w:t xml:space="preserve">                                   ( Delivers JSON Response )                         |  </w:t>
        <w:br/>
        <w:t xml:space="preserve">                                            |                                         v  </w:t>
        <w:br/>
        <w:t xml:space="preserve">                                            +============================== [ BUSINESS LOGIC ]   </w:t>
        <w:br/>
        <w:t xml:space="preserve">                                                                                      |  </w:t>
        <w:br/>
        <w:t xml:space="preserve">                                                                                      v  </w:t>
        <w:br/>
        <w:t xml:space="preserve">        [ DATABASE CONTAINER ] &lt;========( Mongoose ODM Queries )======== [ DATA MODELS LAYER ]   </w:t>
        <w:br/>
        <w:t xml:space="preserve">         (MongoDB Cloud Atlas)                                                           </w:t>
        <w:br/>
        <w:t xml:space="preserve">                                                                                         </w:t>
        <w:br/>
        <w:t>=========================================================================================</w:t>
        <w:br/>
        <w:t xml:space="preserve">                              FIGURE 1.1: Component Separation and Logic Flow            </w:t>
        <w:br/>
        <w:t>=========================================================================================</w:t>
      </w:r>
    </w:p>
    <w:p>
      <w:pPr>
        <w:jc w:val="center"/>
      </w:pPr>
      <w:r>
        <w:rPr>
          <w:i/>
        </w:rPr>
        <w:t>[Insert MVC-Pattern Diagram Screenshot - Component Inter-communication Topology Mapping]</w:t>
      </w:r>
    </w:p>
    <w:p>
      <w:r>
        <w:br w:type="page"/>
      </w:r>
    </w:p>
    <w:p>
      <w:pPr>
        <w:pStyle w:val="Heading2"/>
        <w:keepNext/>
        <w:spacing w:before="320" w:after="120"/>
      </w:pPr>
      <w:r>
        <w:rPr>
          <w:rFonts w:ascii="Arial" w:hAnsi="Arial"/>
          <w:b/>
          <w:color w:val="4A777A"/>
          <w:sz w:val="26"/>
        </w:rPr>
        <w:t>1.2 Structural Domain Segmentation</w:t>
      </w:r>
    </w:p>
    <w:p>
      <w:r>
        <w:t>The architectural components identified within the engineering dashboard map directly to three core operational layers:</w:t>
      </w:r>
    </w:p>
    <w:p>
      <w:pPr>
        <w:spacing w:line="360" w:lineRule="auto"/>
        <w:ind w:left="360"/>
      </w:pPr>
      <w:r>
        <w:rPr>
          <w:b/>
        </w:rPr>
        <w:t xml:space="preserve">1. The Model Layer (Data Definitions &amp; Schemas): </w:t>
      </w:r>
      <w:r>
        <w:t>The Model layer serves as the system's foundational source of truth, establishing data object definitions and storage rules. It encapsulates data schemas, data properties, validation rules, and structural restrictions. Within this application, models define user accounts, trading logs, and portfolio parameters, using structured object-data modeling to guarantee data consistency before operations hit the cloud storage containers.</w:t>
      </w:r>
    </w:p>
    <w:p>
      <w:pPr>
        <w:spacing w:line="360" w:lineRule="auto"/>
        <w:ind w:left="360"/>
      </w:pPr>
      <w:r>
        <w:rPr>
          <w:b/>
        </w:rPr>
        <w:t xml:space="preserve">2. The View Layer (User Interface Presentation): </w:t>
      </w:r>
      <w:r>
        <w:t>The View layer handles the client-facing presentation layout, rendering state variables directly into structured user interfaces. It handles data visualization, view rendering, layout updates, and interaction captures. This tier maps raw backend data streams into clean charts, dashboard metrics, search forms, and ledger logs, processing inputs before passing them to the network layer.</w:t>
      </w:r>
    </w:p>
    <w:p>
      <w:pPr>
        <w:spacing w:line="360" w:lineRule="auto"/>
        <w:ind w:left="360"/>
      </w:pPr>
      <w:r>
        <w:rPr>
          <w:b/>
        </w:rPr>
        <w:t xml:space="preserve">3. The Controller Layer (Application Logic Middleware): </w:t>
      </w:r>
      <w:r>
        <w:t>The Controller layer behaves as the central processing coordinator, orchestrating request traffic between presentation layouts and underlying data models. It handles request interception, data mapping, input validation check passes, accounting calculations, and response formatting. This domain isolates routing mechanisms from data mutations, updating model tracking elements and formatting outbound JSON payloads based on operational results.</w:t>
      </w:r>
    </w:p>
    <w:p>
      <w:pPr>
        <w:pStyle w:val="Heading2"/>
        <w:keepNext/>
        <w:spacing w:before="320" w:after="120"/>
      </w:pPr>
      <w:r>
        <w:rPr>
          <w:rFonts w:ascii="Arial" w:hAnsi="Arial"/>
          <w:b/>
          <w:color w:val="4A777A"/>
          <w:sz w:val="26"/>
        </w:rPr>
        <w:t>1.3 Technical Domain Operational Mapping</w:t>
      </w:r>
    </w:p>
    <w:p>
      <w:pPr>
        <w:spacing w:line="360" w:lineRule="auto"/>
      </w:pPr>
      <w:r>
        <w:t>To clarify code distribution and structural responsibilities across the development environment, the operational domains of the MVC design pattern have been mapped out in the technical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MVC Structural Domain</w:t>
            </w:r>
          </w:p>
        </w:tc>
        <w:tc>
          <w:tcPr>
            <w:tcW w:type="dxa" w:w="3120"/>
            <w:shd w:fill="1B365D"/>
          </w:tcPr>
          <w:p>
            <w:r>
              <w:rPr>
                <w:b/>
                <w:color w:val="FFFFFF"/>
              </w:rPr>
              <w:t>Primary Code Components &amp; Tools</w:t>
            </w:r>
          </w:p>
        </w:tc>
        <w:tc>
          <w:tcPr>
            <w:tcW w:type="dxa" w:w="3120"/>
            <w:shd w:fill="1B365D"/>
          </w:tcPr>
          <w:p>
            <w:r>
              <w:rPr>
                <w:b/>
                <w:color w:val="FFFFFF"/>
              </w:rPr>
              <w:t>System Responsibility &amp; Architectural Purpose</w:t>
            </w:r>
          </w:p>
        </w:tc>
      </w:tr>
      <w:tr>
        <w:tc>
          <w:tcPr>
            <w:tcW w:type="dxa" w:w="3120"/>
            <w:tcMar>
              <w:top w:w="120" w:type="dxa"/>
              <w:bottom w:w="120" w:type="dxa"/>
              <w:left w:w="140" w:type="dxa"/>
              <w:right w:w="140" w:type="dxa"/>
            </w:tcMar>
          </w:tcPr>
          <w:p>
            <w:r>
              <w:t>1. Model Domain</w:t>
            </w:r>
          </w:p>
        </w:tc>
        <w:tc>
          <w:tcPr>
            <w:tcW w:type="dxa" w:w="3120"/>
            <w:tcMar>
              <w:top w:w="120" w:type="dxa"/>
              <w:bottom w:w="120" w:type="dxa"/>
              <w:left w:w="140" w:type="dxa"/>
              <w:right w:w="140" w:type="dxa"/>
            </w:tcMar>
          </w:tcPr>
          <w:p>
            <w:r>
              <w:t>Mongoose Schemas, Database Collections, Object Validators</w:t>
            </w:r>
          </w:p>
        </w:tc>
        <w:tc>
          <w:tcPr>
            <w:tcW w:type="dxa" w:w="3120"/>
            <w:tcMar>
              <w:top w:w="120" w:type="dxa"/>
              <w:bottom w:w="120" w:type="dxa"/>
              <w:left w:w="140" w:type="dxa"/>
              <w:right w:w="140" w:type="dxa"/>
            </w:tcMar>
          </w:tcPr>
          <w:p>
            <w:r>
              <w:t>Defines property types; handles schema constraints; validates data payloads; enforces properties consistency before execution hooks update persistent tables.</w:t>
            </w:r>
          </w:p>
        </w:tc>
      </w:tr>
      <w:tr>
        <w:tc>
          <w:tcPr>
            <w:tcW w:type="dxa" w:w="3120"/>
            <w:tcMar>
              <w:top w:w="120" w:type="dxa"/>
              <w:bottom w:w="120" w:type="dxa"/>
              <w:left w:w="140" w:type="dxa"/>
              <w:right w:w="140" w:type="dxa"/>
            </w:tcMar>
            <w:shd w:fill="F5F7FA"/>
          </w:tcPr>
          <w:p>
            <w:r>
              <w:t>2. View Domain</w:t>
            </w:r>
          </w:p>
        </w:tc>
        <w:tc>
          <w:tcPr>
            <w:tcW w:type="dxa" w:w="3120"/>
            <w:tcMar>
              <w:top w:w="120" w:type="dxa"/>
              <w:bottom w:w="120" w:type="dxa"/>
              <w:left w:w="140" w:type="dxa"/>
              <w:right w:w="140" w:type="dxa"/>
            </w:tcMar>
            <w:shd w:fill="F5F7FA"/>
          </w:tcPr>
          <w:p>
            <w:r>
              <w:t>React 19 Components, TailwindCSS, State Cache Managers</w:t>
            </w:r>
          </w:p>
        </w:tc>
        <w:tc>
          <w:tcPr>
            <w:tcW w:type="dxa" w:w="3120"/>
            <w:tcMar>
              <w:top w:w="120" w:type="dxa"/>
              <w:bottom w:w="120" w:type="dxa"/>
              <w:left w:w="140" w:type="dxa"/>
              <w:right w:w="140" w:type="dxa"/>
            </w:tcMar>
            <w:shd w:fill="F5F7FA"/>
          </w:tcPr>
          <w:p>
            <w:r>
              <w:t>Renders transactional status data; updates client layouts; catches navigation inputs; manages interface states asynchronously.</w:t>
            </w:r>
          </w:p>
        </w:tc>
      </w:tr>
      <w:tr>
        <w:tc>
          <w:tcPr>
            <w:tcW w:type="dxa" w:w="3120"/>
            <w:tcMar>
              <w:top w:w="120" w:type="dxa"/>
              <w:bottom w:w="120" w:type="dxa"/>
              <w:left w:w="140" w:type="dxa"/>
              <w:right w:w="140" w:type="dxa"/>
            </w:tcMar>
          </w:tcPr>
          <w:p>
            <w:r>
              <w:t>3. Controller Domain</w:t>
            </w:r>
          </w:p>
        </w:tc>
        <w:tc>
          <w:tcPr>
            <w:tcW w:type="dxa" w:w="3120"/>
            <w:tcMar>
              <w:top w:w="120" w:type="dxa"/>
              <w:bottom w:w="120" w:type="dxa"/>
              <w:left w:w="140" w:type="dxa"/>
              <w:right w:w="140" w:type="dxa"/>
            </w:tcMar>
          </w:tcPr>
          <w:p>
            <w:r>
              <w:t>Express REST Controllers, Verification Middleware Filters</w:t>
            </w:r>
          </w:p>
        </w:tc>
        <w:tc>
          <w:tcPr>
            <w:tcW w:type="dxa" w:w="3120"/>
            <w:tcMar>
              <w:top w:w="120" w:type="dxa"/>
              <w:bottom w:w="120" w:type="dxa"/>
              <w:left w:w="140" w:type="dxa"/>
              <w:right w:w="140" w:type="dxa"/>
            </w:tcMar>
          </w:tcPr>
          <w:p>
            <w:r>
              <w:t>Intercepts incoming routing requests; executes accounting math checks; evaluates token context; structures outbound JSON payloads.</w:t>
            </w:r>
          </w:p>
        </w:tc>
      </w:tr>
    </w:tbl>
    <w:p>
      <w:pPr>
        <w:jc w:val="center"/>
      </w:pPr>
      <w:r>
        <w:rPr>
          <w:i/>
          <w:sz w:val="20"/>
        </w:rPr>
        <w:t>Table 1.1: MVC Design Pattern Responsibility Layer Mapping</w:t>
      </w:r>
    </w:p>
    <w:p>
      <w:r>
        <w:br w:type="page"/>
      </w:r>
    </w:p>
    <w:p>
      <w:pPr>
        <w:pStyle w:val="Heading2"/>
        <w:keepNext/>
        <w:spacing w:before="320" w:after="120"/>
      </w:pPr>
      <w:r>
        <w:rPr>
          <w:rFonts w:ascii="Arial" w:hAnsi="Arial"/>
          <w:b/>
          <w:color w:val="4A777A"/>
          <w:sz w:val="26"/>
        </w:rPr>
        <w:t>1.4 Request Lifecycle Real-World Logic Execution</w:t>
      </w:r>
    </w:p>
    <w:p>
      <w:pPr>
        <w:spacing w:line="360" w:lineRule="auto"/>
      </w:pPr>
      <w:r>
        <w:t>The MVC design pattern translates user actions into structured backend operations. When a user executes a buy order from the presentation View layer, the action triggers an asynchronous Axios command across the network layer. The incoming request is intercepted by the server's routing framework and passed directly to the appropriate Controller. This controller evaluates security tokens via custom middleware, extracts payload variables, and runs essential business logic calculations to confirm that account assets align with the request parameters.</w:t>
        <w:br/>
        <w:br/>
        <w:t>Once validated, the controller communicates directly with the Model layer, invoking database hooks to safely update the targeted documents. The Model handles data mutation and persistence within the cloud container, returning an updated document status to the controller. The controller captures this confirmation, packages the results into a clean JSON response payload, and returns it to the client. The View layer automatically captures this updated payload, re-renders the dashboard layout, and updates the user interface instantly without requiring a full page refresh.</w:t>
      </w:r>
    </w:p>
    <w:p>
      <w:pPr>
        <w:pStyle w:val="Heading2"/>
        <w:keepNext/>
        <w:spacing w:before="320" w:after="120"/>
      </w:pPr>
      <w:r>
        <w:rPr>
          <w:rFonts w:ascii="Arial" w:hAnsi="Arial"/>
          <w:b/>
          <w:color w:val="4A777A"/>
          <w:sz w:val="26"/>
        </w:rPr>
        <w:t>1.5 Code Maintenance and Scalability Advantages</w:t>
      </w:r>
    </w:p>
    <w:p>
      <w:pPr>
        <w:spacing w:line="360" w:lineRule="auto"/>
      </w:pPr>
      <w:r>
        <w:t>Adhering to a strict MVC pattern provides significant benefits for ongoing system maintenance and scalability. By decoupling interface elements from data queries, developers can update presentation layouts or modify design themes without touching backend logic or risk disrupting database performance. This isolation ensures that styling adjustments remain completely independent of the platform's core mechanics.</w:t>
        <w:br/>
        <w:br/>
        <w:t>Similarly, schema updates or adjustments to backend business rules can be handled entirely within the Model or Controller tiers. This structured separation significantly reduces the risk of regression errors during upgrades and simplifies unit testing by allowing developers to test controllers and data validation hooks independently. This high level of codebase separation ensures the application remains highly maintainable, secure, and scalable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