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Arial" w:hAnsi="Arial"/>
          <w:b/>
          <w:color w:val="1B365D"/>
          <w:sz w:val="32"/>
        </w:rPr>
        <w:t>SECTION 1: TECHNICAL ARCHITECTURE SPECIFICATION</w:t>
      </w:r>
    </w:p>
    <w:p>
      <w:pPr>
        <w:spacing w:line="360" w:lineRule="auto"/>
      </w:pPr>
      <w:r>
        <w:t xml:space="preserve">This section details the custom Technical Architecture of </w:t>
      </w:r>
      <w:r>
        <w:rPr>
          <w:b/>
        </w:rPr>
        <w:t>SB Stocks – Virtual Stock Trading Simulator</w:t>
      </w:r>
      <w:r>
        <w:t xml:space="preserve">, assigned to and architected by team member </w:t>
      </w:r>
      <w:r>
        <w:rPr>
          <w:b/>
        </w:rPr>
        <w:t>Bhuvanesh Jujare</w:t>
      </w:r>
      <w:r>
        <w:t>. The application implements a highly scalable, decoupled full-stack model using the MERN ecosystem (MongoDB, Express.js, React 19, Node.js). Communication between layers is strictly managed through asynchronous REST APIs, securing state management and protecting user portfolios from real-world financial risk while presenting sub-second interface updates.</w:t>
      </w:r>
    </w:p>
    <w:p>
      <w:pPr>
        <w:pStyle w:val="Heading2"/>
        <w:keepNext/>
        <w:spacing w:before="240" w:after="120"/>
      </w:pPr>
      <w:r>
        <w:rPr>
          <w:rFonts w:ascii="Arial" w:hAnsi="Arial"/>
          <w:b/>
          <w:color w:val="4A777A"/>
          <w:sz w:val="26"/>
        </w:rPr>
        <w:t>1.1 Graphical System Architecture Blueprint</w:t>
      </w:r>
    </w:p>
    <w:p>
      <w:pPr>
        <w:spacing w:after="240"/>
      </w:pPr>
      <w:r>
        <w:t>The diagram below represents the complete data pipeline, client-to-server decoupling, and backing cloud persistence layers optimized for your custom stack:</w:t>
      </w:r>
    </w:p>
    <w:p>
      <w:pPr>
        <w:spacing w:before="120" w:after="120"/>
        <w:jc w:val="center"/>
      </w:pPr>
      <w:r>
        <w:rPr>
          <w:rFonts w:ascii="Courier New" w:hAnsi="Courier New"/>
          <w:b/>
          <w:color w:val="1B365D"/>
          <w:sz w:val="19"/>
        </w:rPr>
        <w:t>=========================================================================================</w:t>
        <w:br/>
        <w:t xml:space="preserve">                                   SB STOCKS TECHNICAL ARCHITECTURE                      </w:t>
        <w:br/>
        <w:t>=========================================================================================</w:t>
        <w:br/>
        <w:t xml:space="preserve">   [ FRONTEND CLIENT LAYER ]             [ BACKEND API LAYER ]           [ DATABASE LAYER ]</w:t>
        <w:br/>
        <w:t xml:space="preserve">          (React 19)                         (Node.js Engine)             (MongoDB Atlas)  </w:t>
        <w:br/>
        <w:t xml:space="preserve">  +-------------------------+          +-------------------------+          +------------+ </w:t>
        <w:br/>
        <w:t xml:space="preserve">  |    TanStack Router      |          |    Express.js Routes    |          |            | </w:t>
        <w:br/>
        <w:t xml:space="preserve">  |           |             |          |           |             |          |  Users     | </w:t>
        <w:br/>
        <w:t xml:space="preserve">  |           v             |  Axios   |           v             | Mongoose |  Collection| </w:t>
        <w:br/>
        <w:t xml:space="preserve">  |     ShadCN UI Views     |---------&gt;|    JWT Auth Middleware  |---------&gt;|            | </w:t>
        <w:br/>
        <w:t xml:space="preserve">  |           |             | (HTTP)   |           |             |  (ODM)   | Portfolios | </w:t>
        <w:br/>
        <w:t xml:space="preserve">  |           v             |          |           v             |          |  Collection| </w:t>
        <w:br/>
        <w:t xml:space="preserve">  |   React Query Cache     |&lt;---------|   Business Controllers  |&lt;---------|            | </w:t>
        <w:br/>
        <w:t xml:space="preserve">  |   (Real-time US Data)   | (JSON)   |  (Wallet/Order Engine)  |          | Transactions|</w:t>
        <w:br/>
        <w:t xml:space="preserve">  +-------------------------+          +-------------------------+          +------------+ </w:t>
        <w:br/>
        <w:t>=========================================================================================</w:t>
        <w:br/>
        <w:t xml:space="preserve">                                 FIGURE 1.1: MERN Stack Data Pipeline                    </w:t>
        <w:br/>
        <w:t>=========================================================================================</w:t>
      </w:r>
    </w:p>
    <w:p>
      <w:pPr>
        <w:pStyle w:val="Heading2"/>
        <w:keepNext/>
        <w:spacing w:before="240" w:after="120"/>
      </w:pPr>
      <w:r>
        <w:rPr>
          <w:rFonts w:ascii="Arial" w:hAnsi="Arial"/>
          <w:b/>
          <w:color w:val="4A777A"/>
          <w:sz w:val="26"/>
        </w:rPr>
        <w:t>1.2 Structural Component Breakdown</w:t>
      </w:r>
    </w:p>
    <w:p>
      <w:r>
        <w:t>Based on the technical blueprint designed by Bhuvanesh Jujare, the operational stack is divided into three isolated layers:</w:t>
      </w:r>
    </w:p>
    <w:p>
      <w:pPr>
        <w:ind w:left="360"/>
      </w:pPr>
      <w:r>
        <w:rPr>
          <w:b/>
        </w:rPr>
        <w:t>1. Frontend Client Tier (React 19 &amp; TypeScript):</w:t>
        <w:br/>
      </w:r>
      <w:r>
        <w:t>The frontend layer is built with React 19 to enable a fast Single Page Application (SPA). Navigational states are securely managed by type-safe routes (TanStack Router &amp; Start), preventing invalid access. The visual views are styled using TailwindCSS and modular ShadCN UI components, including the Trading Dashboard, Search Ticker forms, user Portfolio summaries, and Transaction History ledgers. Background data synchronization and caching are managed via React Query, enabling efficient, real-time US stock market data updates without forcing full page updates.</w:t>
      </w:r>
    </w:p>
    <w:p>
      <w:pPr>
        <w:ind w:left="360"/>
      </w:pPr>
      <w:r>
        <w:rPr>
          <w:b/>
        </w:rPr>
        <w:t>2. Backend Core Tier (Node.js &amp; Express.js):</w:t>
        <w:br/>
      </w:r>
      <w:r>
        <w:t>The backend tier serves as the application's engine, defining secure REST API endpoints. It features robust controller logic to process buy/sell operations, calculate weighted average stock purchase costs, and track virtual balances. Security intercepts are handled by custom JWT verification middleware, validating authorization tokens in incoming headers before passing execution downstream to the business controllers.</w:t>
      </w:r>
    </w:p>
    <w:p>
      <w:pPr>
        <w:ind w:left="360"/>
      </w:pPr>
      <w:r>
        <w:rPr>
          <w:b/>
        </w:rPr>
        <w:t>3. Database Persistence Tier (MongoDB Atlas):</w:t>
        <w:br/>
      </w:r>
      <w:r>
        <w:t>A fully cloud-managed document database stores operational BSON objects across three main collections: Users (demographic profiles and encrypted credentials), Portfolios (wallet cash balances and current asset arrays), and Transactions (immutable, timestamped order logs). The data models are controlled and enforced using Mongoose object-relational mapping structures.</w:t>
      </w:r>
    </w:p>
    <w:p>
      <w:pPr>
        <w:pStyle w:val="Heading2"/>
        <w:keepNext/>
        <w:spacing w:before="240" w:after="120"/>
      </w:pPr>
      <w:r>
        <w:rPr>
          <w:rFonts w:ascii="Arial" w:hAnsi="Arial"/>
          <w:b/>
          <w:color w:val="4A777A"/>
          <w:sz w:val="26"/>
        </w:rPr>
        <w:t>1.3 Architectural Component Reference</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Architecture Domain</w:t>
            </w:r>
          </w:p>
        </w:tc>
        <w:tc>
          <w:tcPr>
            <w:tcW w:type="dxa" w:w="3120"/>
            <w:shd w:fill="1B365D"/>
          </w:tcPr>
          <w:p>
            <w:r>
              <w:rPr>
                <w:b/>
                <w:color w:val="FFFFFF"/>
              </w:rPr>
              <w:t>Technology Stack Components</w:t>
            </w:r>
          </w:p>
        </w:tc>
        <w:tc>
          <w:tcPr>
            <w:tcW w:type="dxa" w:w="3120"/>
            <w:shd w:fill="1B365D"/>
          </w:tcPr>
          <w:p>
            <w:r>
              <w:rPr>
                <w:b/>
                <w:color w:val="FFFFFF"/>
              </w:rPr>
              <w:t>Core Operational Responsibilities</w:t>
            </w:r>
          </w:p>
        </w:tc>
      </w:tr>
      <w:tr>
        <w:tc>
          <w:tcPr>
            <w:tcW w:type="dxa" w:w="3120"/>
            <w:tcMar>
              <w:top w:w="80" w:type="dxa"/>
              <w:bottom w:w="80" w:type="dxa"/>
              <w:left w:w="100" w:type="dxa"/>
              <w:right w:w="100" w:type="dxa"/>
            </w:tcMar>
          </w:tcPr>
          <w:p>
            <w:r>
              <w:t>Frontend Client</w:t>
            </w:r>
          </w:p>
        </w:tc>
        <w:tc>
          <w:tcPr>
            <w:tcW w:type="dxa" w:w="3120"/>
            <w:tcMar>
              <w:top w:w="80" w:type="dxa"/>
              <w:bottom w:w="80" w:type="dxa"/>
              <w:left w:w="100" w:type="dxa"/>
              <w:right w:w="100" w:type="dxa"/>
            </w:tcMar>
          </w:tcPr>
          <w:p>
            <w:r>
              <w:t>React 19, TanStack Router, React Query, Vite, ShadCN UI</w:t>
            </w:r>
          </w:p>
        </w:tc>
        <w:tc>
          <w:tcPr>
            <w:tcW w:type="dxa" w:w="3120"/>
            <w:tcMar>
              <w:top w:w="80" w:type="dxa"/>
              <w:bottom w:w="80" w:type="dxa"/>
              <w:left w:w="100" w:type="dxa"/>
              <w:right w:w="100" w:type="dxa"/>
            </w:tcMar>
          </w:tcPr>
          <w:p>
            <w:r>
              <w:t>Renders responsive user views; handles secure route navigation guards; syncs and caches stock tickers and user balances.</w:t>
            </w:r>
          </w:p>
        </w:tc>
      </w:tr>
      <w:tr>
        <w:tc>
          <w:tcPr>
            <w:tcW w:type="dxa" w:w="3120"/>
            <w:tcMar>
              <w:top w:w="80" w:type="dxa"/>
              <w:bottom w:w="80" w:type="dxa"/>
              <w:left w:w="100" w:type="dxa"/>
              <w:right w:w="100" w:type="dxa"/>
            </w:tcMar>
            <w:shd w:fill="F5F7FA"/>
          </w:tcPr>
          <w:p>
            <w:r>
              <w:t>Backend REST API</w:t>
            </w:r>
          </w:p>
        </w:tc>
        <w:tc>
          <w:tcPr>
            <w:tcW w:type="dxa" w:w="3120"/>
            <w:tcMar>
              <w:top w:w="80" w:type="dxa"/>
              <w:bottom w:w="80" w:type="dxa"/>
              <w:left w:w="100" w:type="dxa"/>
              <w:right w:w="100" w:type="dxa"/>
            </w:tcMar>
            <w:shd w:fill="F5F7FA"/>
          </w:tcPr>
          <w:p>
            <w:r>
              <w:t>Node.js, Express.js, JWT Auth, Bcrypt Cryptography</w:t>
            </w:r>
          </w:p>
        </w:tc>
        <w:tc>
          <w:tcPr>
            <w:tcW w:type="dxa" w:w="3120"/>
            <w:tcMar>
              <w:top w:w="80" w:type="dxa"/>
              <w:bottom w:w="80" w:type="dxa"/>
              <w:left w:w="100" w:type="dxa"/>
              <w:right w:w="100" w:type="dxa"/>
            </w:tcMar>
            <w:shd w:fill="F5F7FA"/>
          </w:tcPr>
          <w:p>
            <w:r>
              <w:t>Validates user authentication headers; manages financial order processing; secures app routing pipelines.</w:t>
            </w:r>
          </w:p>
        </w:tc>
      </w:tr>
      <w:tr>
        <w:tc>
          <w:tcPr>
            <w:tcW w:type="dxa" w:w="3120"/>
            <w:tcMar>
              <w:top w:w="80" w:type="dxa"/>
              <w:bottom w:w="80" w:type="dxa"/>
              <w:left w:w="100" w:type="dxa"/>
              <w:right w:w="100" w:type="dxa"/>
            </w:tcMar>
          </w:tcPr>
          <w:p>
            <w:r>
              <w:t>Cloud Persistence</w:t>
            </w:r>
          </w:p>
        </w:tc>
        <w:tc>
          <w:tcPr>
            <w:tcW w:type="dxa" w:w="3120"/>
            <w:tcMar>
              <w:top w:w="80" w:type="dxa"/>
              <w:bottom w:w="80" w:type="dxa"/>
              <w:left w:w="100" w:type="dxa"/>
              <w:right w:w="100" w:type="dxa"/>
            </w:tcMar>
          </w:tcPr>
          <w:p>
            <w:r>
              <w:t>MongoDB Atlas, Mongoose Object Data Modeling (ODM)</w:t>
            </w:r>
          </w:p>
        </w:tc>
        <w:tc>
          <w:tcPr>
            <w:tcW w:type="dxa" w:w="3120"/>
            <w:tcMar>
              <w:top w:w="80" w:type="dxa"/>
              <w:bottom w:w="80" w:type="dxa"/>
              <w:left w:w="100" w:type="dxa"/>
              <w:right w:w="100" w:type="dxa"/>
            </w:tcMar>
          </w:tcPr>
          <w:p>
            <w:r>
              <w:t>Stores and updates flexible collections for Users, Portfolios, and Transactions with strict validation constraints.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