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USER FLOW ARCHITECTURE SPECIFICATION</w:t>
      </w:r>
    </w:p>
    <w:p>
      <w:pPr>
        <w:spacing w:line="360" w:lineRule="auto" w:after="240"/>
      </w:pPr>
      <w:r>
        <w:t xml:space="preserve">This section delineates the complete behavioral mechanics and structural operational journeys of the </w:t>
      </w:r>
      <w:r>
        <w:rPr>
          <w:b/>
        </w:rPr>
        <w:t>SB Stocks – Virtual Stock Trading Simulator</w:t>
      </w:r>
      <w:r>
        <w:t xml:space="preserve">, as systematically engineered and tracked under the assignment of team member </w:t>
      </w:r>
      <w:r>
        <w:rPr>
          <w:b/>
        </w:rPr>
        <w:t>Bhuvanesh Jujare</w:t>
      </w:r>
      <w:r>
        <w:t>. Analyzing the systematic paths from user landing pages to transactional order execution points is essential for defining state boundaries, preventing data integrity leakage, and ensuring low-latency interface synchronizations. The following specification covers the complete user lifecycle spanning entry points, strict authentication flows, dashboard operations, market analysis panels, paper trading engines, and secure session terminations.</w:t>
      </w:r>
    </w:p>
    <w:p>
      <w:pPr>
        <w:pStyle w:val="Heading2"/>
        <w:keepNext/>
        <w:spacing w:before="320" w:after="120"/>
      </w:pPr>
      <w:r>
        <w:rPr>
          <w:rFonts w:ascii="Arial" w:hAnsi="Arial"/>
          <w:b/>
          <w:color w:val="4A777A"/>
          <w:sz w:val="26"/>
        </w:rPr>
        <w:t>1.1 Schematic User Navigation Blueprint</w:t>
      </w:r>
    </w:p>
    <w:p>
      <w:pPr>
        <w:spacing w:line="360" w:lineRule="auto"/>
      </w:pPr>
      <w:r>
        <w:t>The visual state flow diagram illustrated inside the technical tracking panels image_472774.png has been translated into an explicit programmatic ASCII interaction map below, detailing the operational conditional splits engineered within the MERN architecture:</w:t>
      </w:r>
    </w:p>
    <w:p>
      <w:pPr>
        <w:spacing w:before="120" w:after="120"/>
        <w:jc w:val="center"/>
      </w:pPr>
      <w:r>
        <w:rPr>
          <w:rFonts w:ascii="Courier New" w:hAnsi="Courier New"/>
          <w:b/>
          <w:color w:val="1B365D"/>
          <w:sz w:val="17"/>
        </w:rPr>
        <w:t>=========================================================================================</w:t>
        <w:br/>
        <w:t xml:space="preserve">                                 SB STOCKS APPLICATION USER FLOW                         </w:t>
        <w:br/>
        <w:t>=========================================================================================</w:t>
        <w:br/>
        <w:t xml:space="preserve">                                       [ Start ]                                         </w:t>
        <w:br/>
        <w:t xml:space="preserve">                                           |                                             </w:t>
        <w:br/>
        <w:t xml:space="preserve">                                           v                                             </w:t>
        <w:br/>
        <w:t xml:space="preserve">                                    [ Landing Page ]                                     </w:t>
        <w:br/>
        <w:t xml:space="preserve">                                      /          \                                       </w:t>
        <w:br/>
        <w:t xml:space="preserve">                                     v            v                                      </w:t>
        <w:br/>
        <w:t xml:space="preserve">                                [ Register ]   [ Login ]                                 </w:t>
        <w:br/>
        <w:t xml:space="preserve">                                     \            /                                      </w:t>
        <w:br/>
        <w:t xml:space="preserve">                                      v          v                                       </w:t>
        <w:br/>
        <w:t xml:space="preserve">                                    [ Dashboard ] &lt;-----------------------------------+  </w:t>
        <w:br/>
        <w:t xml:space="preserve">                                   /      |      \                                    |  </w:t>
        <w:br/>
        <w:t xml:space="preserve">                                  v       v       v                                   |  </w:t>
        <w:br/>
        <w:t xml:space="preserve">                   [ Browse Stocks ] [ Manage Portfolio ] [ View History ]            |  </w:t>
        <w:br/>
        <w:t xml:space="preserve">                           |              |                    |                      |  </w:t>
        <w:br/>
        <w:t xml:space="preserve">                           v              v                    v                      |  </w:t>
        <w:br/>
        <w:t xml:space="preserve">                   [ Stock Details ] [ Current Positions ] [ Transaction Logs ]       |  </w:t>
        <w:br/>
        <w:t xml:space="preserve">                        /      \          |                    |                      |  </w:t>
        <w:br/>
        <w:t xml:space="preserve">                       v        v         v                    v                      |  </w:t>
        <w:br/>
        <w:t xml:space="preserve">                    [ Buy ]  [ Sell ] [ Strategy Testing ] [ Timestamps Log ]         |  </w:t>
        <w:br/>
        <w:t xml:space="preserve">                       \        /         |                    |                      |  </w:t>
        <w:br/>
        <w:t xml:space="preserve">                        v      v          v                    v                      |  </w:t>
        <w:br/>
        <w:t xml:space="preserve">                      [ Paper Trading ]-&gt;[ Analyze Performance ]----------------------+  </w:t>
        <w:br/>
        <w:t xml:space="preserve">                                          |                                              </w:t>
        <w:br/>
        <w:t xml:space="preserve">                                          v                                              </w:t>
        <w:br/>
        <w:t xml:space="preserve">                                      [ Logout ]                                         </w:t>
        <w:br/>
        <w:t xml:space="preserve">                                          |                                              </w:t>
        <w:br/>
        <w:t xml:space="preserve">                                          v                                              </w:t>
        <w:br/>
        <w:t xml:space="preserve">                                       [ End ]                                           </w:t>
        <w:br/>
        <w:t>=========================================================================================</w:t>
        <w:br/>
        <w:t xml:space="preserve">                            FIGURE 1.1: Multi-Tier State Interaction Map                 </w:t>
        <w:br/>
        <w:t>=========================================================================================</w:t>
      </w:r>
    </w:p>
    <w:p>
      <w:pPr>
        <w:spacing w:after="360"/>
        <w:jc w:val="center"/>
      </w:pPr>
      <w:r>
        <w:rPr>
          <w:i/>
        </w:rPr>
        <w:t>[Insert User-Flow Diagram Screenshot - Complete State Transitions Mapping as extracted from design canvas panels]</w:t>
      </w:r>
    </w:p>
    <w:p>
      <w:r>
        <w:br w:type="page"/>
      </w:r>
    </w:p>
    <w:p>
      <w:pPr>
        <w:pStyle w:val="Heading2"/>
        <w:keepNext/>
        <w:spacing w:before="320" w:after="120"/>
      </w:pPr>
      <w:r>
        <w:rPr>
          <w:rFonts w:ascii="Arial" w:hAnsi="Arial"/>
          <w:b/>
          <w:color w:val="4A777A"/>
          <w:sz w:val="26"/>
        </w:rPr>
        <w:t>1.2 Step-by-Step Functional Lifecycle Breakdown</w:t>
      </w:r>
    </w:p>
    <w:p>
      <w:r>
        <w:t>As structurally outlined in the project specifications (image_472774.png and image_4727b7.png), the system execution journey consists of nine sequential phases:</w:t>
      </w:r>
    </w:p>
    <w:p>
      <w:pPr>
        <w:spacing w:line="360" w:lineRule="auto"/>
        <w:ind w:left="360"/>
      </w:pPr>
      <w:r>
        <w:rPr>
          <w:b/>
        </w:rPr>
        <w:t xml:space="preserve">• 1. Entry Point: </w:t>
      </w:r>
      <w:r>
        <w:t>The initialization phase where the consumer requests access. The client hits the application URL string, loading static frontend framework modules, interface stylesheets, and the initial interactive landing elements.</w:t>
      </w:r>
    </w:p>
    <w:p>
      <w:pPr>
        <w:spacing w:line="360" w:lineRule="auto"/>
        <w:ind w:left="360"/>
      </w:pPr>
      <w:r>
        <w:rPr>
          <w:b/>
        </w:rPr>
        <w:t xml:space="preserve">• 2. Authentication: </w:t>
      </w:r>
      <w:r>
        <w:t>Implements validation access controls. New profiles navigate to the registration view to input baseline details (name, email, password, contact parameters), creating records before shifting to the login panel. Registered profiles pass credentials directly to receive verified authorization headers, enabling access to the main dashboard views.</w:t>
      </w:r>
    </w:p>
    <w:p>
      <w:pPr>
        <w:spacing w:line="360" w:lineRule="auto"/>
        <w:ind w:left="360"/>
      </w:pPr>
      <w:r>
        <w:rPr>
          <w:b/>
        </w:rPr>
        <w:t xml:space="preserve">• 3. Dashboard (Main Hub): </w:t>
      </w:r>
      <w:r>
        <w:t>Acts as the central operations hub of the platform. Upon token validation, the application renders aggregated account metrics, highlighting total virtual cash equity balances, active investment summaries, and short logs of recent trade records.</w:t>
      </w:r>
    </w:p>
    <w:p>
      <w:pPr>
        <w:spacing w:line="360" w:lineRule="auto"/>
        <w:ind w:left="360"/>
      </w:pPr>
      <w:r>
        <w:rPr>
          <w:b/>
        </w:rPr>
        <w:t xml:space="preserve">• 4. Browse &amp; Explore Stocks: </w:t>
      </w:r>
      <w:r>
        <w:t>The primary analytical query panel. The interface provides search tools to lookup US equity information, pulling live market metrics, trading volumes, ticker names, and short performance data windows.</w:t>
      </w:r>
    </w:p>
    <w:p>
      <w:pPr>
        <w:spacing w:line="360" w:lineRule="auto"/>
        <w:ind w:left="360"/>
      </w:pPr>
      <w:r>
        <w:rPr>
          <w:b/>
        </w:rPr>
        <w:t xml:space="preserve">• 5. Paper Trading (Buy/Sell): </w:t>
      </w:r>
      <w:r>
        <w:t>The core transaction manager engine. Users select an active ticker asset and configure action preferences (Buy vs Sell), input preferred unit quantities, and submit the trade. The platform validates execution parameters against wallet liquidities before writing atomic records to ledger tables.</w:t>
      </w:r>
    </w:p>
    <w:p>
      <w:pPr>
        <w:spacing w:line="360" w:lineRule="auto"/>
        <w:ind w:left="360"/>
      </w:pPr>
      <w:r>
        <w:rPr>
          <w:b/>
        </w:rPr>
        <w:t xml:space="preserve">• 6. Portfolio Management: </w:t>
      </w:r>
      <w:r>
        <w:t>Coordinates ongoing asset balance configurations. Users can create multiple separate portfolios to isolate test concepts, add or remove assets, track current positions, calculate profit-and-loss variations, and view interactive performance charts.</w:t>
      </w:r>
    </w:p>
    <w:p>
      <w:pPr>
        <w:spacing w:line="360" w:lineRule="auto"/>
        <w:ind w:left="360"/>
      </w:pPr>
      <w:r>
        <w:rPr>
          <w:b/>
        </w:rPr>
        <w:t xml:space="preserve">• 7. Transactions History: </w:t>
      </w:r>
      <w:r>
        <w:t>An immutable auditing ledger. The database records a permanent, timestamped log for every confirmed order execution, listing share counts, average acquisition prices, asset ticker names, and execution methods for audit tracking.</w:t>
      </w:r>
    </w:p>
    <w:p>
      <w:pPr>
        <w:spacing w:line="360" w:lineRule="auto"/>
        <w:ind w:left="360"/>
      </w:pPr>
      <w:r>
        <w:rPr>
          <w:b/>
        </w:rPr>
        <w:t xml:space="preserve">• 8. Learning &amp; Strategy Testing: </w:t>
      </w:r>
      <w:r>
        <w:t>The primary educational workspace. Users can review long-term asset histories, evaluate past market cycles, and compare performance trends across different virtual portfolios to optimize trading logic without financial risk.</w:t>
      </w:r>
    </w:p>
    <w:p>
      <w:pPr>
        <w:spacing w:line="360" w:lineRule="auto"/>
        <w:ind w:left="360"/>
      </w:pPr>
      <w:r>
        <w:rPr>
          <w:b/>
        </w:rPr>
        <w:t xml:space="preserve">• 9. Logout: </w:t>
      </w:r>
      <w:r>
        <w:t>Handles session termination routines. The client deletes stored access token layers, invalidates state caches, closes active market data connections, and redirects the browser back to the entry login pages.</w:t>
      </w:r>
    </w:p>
    <w:p>
      <w:r>
        <w:br w:type="page"/>
      </w:r>
    </w:p>
    <w:p>
      <w:pPr>
        <w:pStyle w:val="Heading2"/>
        <w:keepNext/>
        <w:spacing w:before="320" w:after="120"/>
      </w:pPr>
      <w:r>
        <w:rPr>
          <w:rFonts w:ascii="Arial" w:hAnsi="Arial"/>
          <w:b/>
          <w:color w:val="4A777A"/>
          <w:sz w:val="26"/>
        </w:rPr>
        <w:t>1.3 State Transition and Data Architecture Matrix</w:t>
      </w:r>
    </w:p>
    <w:p>
      <w:pPr>
        <w:spacing w:line="360" w:lineRule="auto" w:after="240"/>
      </w:pPr>
      <w:r>
        <w:t>The operational phases documented inside the system specifications have been structured into a clear data mapping reference below. This table connects user interface views directly to their corresponding backend routes and backend operations: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Functional State Context</w:t>
            </w:r>
          </w:p>
        </w:tc>
        <w:tc>
          <w:tcPr>
            <w:tcW w:type="dxa" w:w="3120"/>
            <w:shd w:fill="1B365D"/>
          </w:tcPr>
          <w:p>
            <w:r>
              <w:rPr>
                <w:b/>
                <w:color w:val="FFFFFF"/>
              </w:rPr>
              <w:t>Frontend Interface &amp; Path Context</w:t>
            </w:r>
          </w:p>
        </w:tc>
        <w:tc>
          <w:tcPr>
            <w:tcW w:type="dxa" w:w="3120"/>
            <w:shd w:fill="1B365D"/>
          </w:tcPr>
          <w:p>
            <w:r>
              <w:rPr>
                <w:b/>
                <w:color w:val="FFFFFF"/>
              </w:rPr>
              <w:t>Backend Route &amp; Database Operation Mapping</w:t>
            </w:r>
          </w:p>
        </w:tc>
      </w:tr>
      <w:tr>
        <w:tc>
          <w:tcPr>
            <w:tcW w:type="dxa" w:w="3120"/>
            <w:tcMar>
              <w:top w:w="100" w:type="dxa"/>
              <w:bottom w:w="100" w:type="dxa"/>
              <w:left w:w="120" w:type="dxa"/>
              <w:right w:w="120" w:type="dxa"/>
            </w:tcMar>
          </w:tcPr>
          <w:p>
            <w:r>
              <w:t>1. Entry Point</w:t>
            </w:r>
          </w:p>
        </w:tc>
        <w:tc>
          <w:tcPr>
            <w:tcW w:type="dxa" w:w="3120"/>
            <w:tcMar>
              <w:top w:w="100" w:type="dxa"/>
              <w:bottom w:w="100" w:type="dxa"/>
              <w:left w:w="120" w:type="dxa"/>
              <w:right w:w="120" w:type="dxa"/>
            </w:tcMar>
          </w:tcPr>
          <w:p>
            <w:r>
              <w:t>Landing Visual Overview (`/`)</w:t>
            </w:r>
          </w:p>
        </w:tc>
        <w:tc>
          <w:tcPr>
            <w:tcW w:type="dxa" w:w="3120"/>
            <w:tcMar>
              <w:top w:w="100" w:type="dxa"/>
              <w:bottom w:w="100" w:type="dxa"/>
              <w:left w:w="120" w:type="dxa"/>
              <w:right w:w="120" w:type="dxa"/>
            </w:tcMar>
          </w:tcPr>
          <w:p>
            <w:r>
              <w:t>Static delivery of client framework bundles and interface components.</w:t>
            </w:r>
          </w:p>
        </w:tc>
      </w:tr>
      <w:tr>
        <w:tc>
          <w:tcPr>
            <w:tcW w:type="dxa" w:w="3120"/>
            <w:tcMar>
              <w:top w:w="100" w:type="dxa"/>
              <w:bottom w:w="100" w:type="dxa"/>
              <w:left w:w="120" w:type="dxa"/>
              <w:right w:w="120" w:type="dxa"/>
            </w:tcMar>
            <w:shd w:fill="F5F7FA"/>
          </w:tcPr>
          <w:p>
            <w:r>
              <w:t>2. Authentication</w:t>
            </w:r>
          </w:p>
        </w:tc>
        <w:tc>
          <w:tcPr>
            <w:tcW w:type="dxa" w:w="3120"/>
            <w:tcMar>
              <w:top w:w="100" w:type="dxa"/>
              <w:bottom w:w="100" w:type="dxa"/>
              <w:left w:w="120" w:type="dxa"/>
              <w:right w:w="120" w:type="dxa"/>
            </w:tcMar>
            <w:shd w:fill="F5F7FA"/>
          </w:tcPr>
          <w:p>
            <w:r>
              <w:t>Registration / Login Views (`/login`)</w:t>
            </w:r>
          </w:p>
        </w:tc>
        <w:tc>
          <w:tcPr>
            <w:tcW w:type="dxa" w:w="3120"/>
            <w:tcMar>
              <w:top w:w="100" w:type="dxa"/>
              <w:bottom w:w="100" w:type="dxa"/>
              <w:left w:w="120" w:type="dxa"/>
              <w:right w:w="120" w:type="dxa"/>
            </w:tcMar>
            <w:shd w:fill="F5F7FA"/>
          </w:tcPr>
          <w:p>
            <w:r>
              <w:t>POST `/api/auth/register` (bcrypt hashing) &amp; POST `/api/auth/login` (JWT provisioning).</w:t>
            </w:r>
          </w:p>
        </w:tc>
      </w:tr>
      <w:tr>
        <w:tc>
          <w:tcPr>
            <w:tcW w:type="dxa" w:w="3120"/>
            <w:tcMar>
              <w:top w:w="100" w:type="dxa"/>
              <w:bottom w:w="100" w:type="dxa"/>
              <w:left w:w="120" w:type="dxa"/>
              <w:right w:w="120" w:type="dxa"/>
            </w:tcMar>
          </w:tcPr>
          <w:p>
            <w:r>
              <w:t>3. Dashboard Hub</w:t>
            </w:r>
          </w:p>
        </w:tc>
        <w:tc>
          <w:tcPr>
            <w:tcW w:type="dxa" w:w="3120"/>
            <w:tcMar>
              <w:top w:w="100" w:type="dxa"/>
              <w:bottom w:w="100" w:type="dxa"/>
              <w:left w:w="120" w:type="dxa"/>
              <w:right w:w="120" w:type="dxa"/>
            </w:tcMar>
          </w:tcPr>
          <w:p>
            <w:r>
              <w:t>Main Operations Center (`/dashboard`)</w:t>
            </w:r>
          </w:p>
        </w:tc>
        <w:tc>
          <w:tcPr>
            <w:tcW w:type="dxa" w:w="3120"/>
            <w:tcMar>
              <w:top w:w="100" w:type="dxa"/>
              <w:bottom w:w="100" w:type="dxa"/>
              <w:left w:w="120" w:type="dxa"/>
              <w:right w:w="120" w:type="dxa"/>
            </w:tcMar>
          </w:tcPr>
          <w:p>
            <w:r>
              <w:t>GET `/api/portfolio/summary` (Aggregates wallet liquidities and portfolio metrics).</w:t>
            </w:r>
          </w:p>
        </w:tc>
      </w:tr>
      <w:tr>
        <w:tc>
          <w:tcPr>
            <w:tcW w:type="dxa" w:w="3120"/>
            <w:tcMar>
              <w:top w:w="100" w:type="dxa"/>
              <w:bottom w:w="100" w:type="dxa"/>
              <w:left w:w="120" w:type="dxa"/>
              <w:right w:w="120" w:type="dxa"/>
            </w:tcMar>
            <w:shd w:fill="F5F7FA"/>
          </w:tcPr>
          <w:p>
            <w:r>
              <w:t>4. Browse Stocks</w:t>
            </w:r>
          </w:p>
        </w:tc>
        <w:tc>
          <w:tcPr>
            <w:tcW w:type="dxa" w:w="3120"/>
            <w:tcMar>
              <w:top w:w="100" w:type="dxa"/>
              <w:bottom w:w="100" w:type="dxa"/>
              <w:left w:w="120" w:type="dxa"/>
              <w:right w:w="120" w:type="dxa"/>
            </w:tcMar>
            <w:shd w:fill="F5F7FA"/>
          </w:tcPr>
          <w:p>
            <w:r>
              <w:t>Ticker Lookup Panel (`/market`)</w:t>
            </w:r>
          </w:p>
        </w:tc>
        <w:tc>
          <w:tcPr>
            <w:tcW w:type="dxa" w:w="3120"/>
            <w:tcMar>
              <w:top w:w="100" w:type="dxa"/>
              <w:bottom w:w="100" w:type="dxa"/>
              <w:left w:w="120" w:type="dxa"/>
              <w:right w:w="120" w:type="dxa"/>
            </w:tcMar>
            <w:shd w:fill="F5F7FA"/>
          </w:tcPr>
          <w:p>
            <w:r>
              <w:t>GET `/api/stocks/search?ticker=XYZ` (Queries active market assets and data points).</w:t>
            </w:r>
          </w:p>
        </w:tc>
      </w:tr>
      <w:tr>
        <w:tc>
          <w:tcPr>
            <w:tcW w:type="dxa" w:w="3120"/>
            <w:tcMar>
              <w:top w:w="100" w:type="dxa"/>
              <w:bottom w:w="100" w:type="dxa"/>
              <w:left w:w="120" w:type="dxa"/>
              <w:right w:w="120" w:type="dxa"/>
            </w:tcMar>
          </w:tcPr>
          <w:p>
            <w:r>
              <w:t>5. Paper Trading</w:t>
            </w:r>
          </w:p>
        </w:tc>
        <w:tc>
          <w:tcPr>
            <w:tcW w:type="dxa" w:w="3120"/>
            <w:tcMar>
              <w:top w:w="100" w:type="dxa"/>
              <w:bottom w:w="100" w:type="dxa"/>
              <w:left w:w="120" w:type="dxa"/>
              <w:right w:w="120" w:type="dxa"/>
            </w:tcMar>
          </w:tcPr>
          <w:p>
            <w:r>
              <w:t>Execution Order Modals (`/trade`)</w:t>
            </w:r>
          </w:p>
        </w:tc>
        <w:tc>
          <w:tcPr>
            <w:tcW w:type="dxa" w:w="3120"/>
            <w:tcMar>
              <w:top w:w="100" w:type="dxa"/>
              <w:bottom w:w="100" w:type="dxa"/>
              <w:left w:w="120" w:type="dxa"/>
              <w:right w:w="120" w:type="dxa"/>
            </w:tcMar>
          </w:tcPr>
          <w:p>
            <w:r>
              <w:t>POST `/api/portfolio/trade` (Validates wallet cash balances and executes trades).</w:t>
            </w:r>
          </w:p>
        </w:tc>
      </w:tr>
      <w:tr>
        <w:tc>
          <w:tcPr>
            <w:tcW w:type="dxa" w:w="3120"/>
            <w:tcMar>
              <w:top w:w="100" w:type="dxa"/>
              <w:bottom w:w="100" w:type="dxa"/>
              <w:left w:w="120" w:type="dxa"/>
              <w:right w:w="120" w:type="dxa"/>
            </w:tcMar>
            <w:shd w:fill="F5F7FA"/>
          </w:tcPr>
          <w:p>
            <w:r>
              <w:t>6. Portfolio Mgmt</w:t>
            </w:r>
          </w:p>
        </w:tc>
        <w:tc>
          <w:tcPr>
            <w:tcW w:type="dxa" w:w="3120"/>
            <w:tcMar>
              <w:top w:w="100" w:type="dxa"/>
              <w:bottom w:w="100" w:type="dxa"/>
              <w:left w:w="120" w:type="dxa"/>
              <w:right w:w="120" w:type="dxa"/>
            </w:tcMar>
            <w:shd w:fill="F5F7FA"/>
          </w:tcPr>
          <w:p>
            <w:r>
              <w:t>Asset Analysis Panels (`/portfolio`)</w:t>
            </w:r>
          </w:p>
        </w:tc>
        <w:tc>
          <w:tcPr>
            <w:tcW w:type="dxa" w:w="3120"/>
            <w:tcMar>
              <w:top w:w="100" w:type="dxa"/>
              <w:bottom w:w="100" w:type="dxa"/>
              <w:left w:w="120" w:type="dxa"/>
              <w:right w:w="120" w:type="dxa"/>
            </w:tcMar>
            <w:shd w:fill="F5F7FA"/>
          </w:tcPr>
          <w:p>
            <w:r>
              <w:t>PUT `/api/portfolio/modify` (Updates stock holding allocations and calculates positions).</w:t>
            </w:r>
          </w:p>
        </w:tc>
      </w:tr>
      <w:tr>
        <w:tc>
          <w:tcPr>
            <w:tcW w:type="dxa" w:w="3120"/>
            <w:tcMar>
              <w:top w:w="100" w:type="dxa"/>
              <w:bottom w:w="100" w:type="dxa"/>
              <w:left w:w="120" w:type="dxa"/>
              <w:right w:w="120" w:type="dxa"/>
            </w:tcMar>
          </w:tcPr>
          <w:p>
            <w:r>
              <w:t>7. Transaction Logs</w:t>
            </w:r>
          </w:p>
        </w:tc>
        <w:tc>
          <w:tcPr>
            <w:tcW w:type="dxa" w:w="3120"/>
            <w:tcMar>
              <w:top w:w="100" w:type="dxa"/>
              <w:bottom w:w="100" w:type="dxa"/>
              <w:left w:w="120" w:type="dxa"/>
              <w:right w:w="120" w:type="dxa"/>
            </w:tcMar>
          </w:tcPr>
          <w:p>
            <w:r>
              <w:t>Ledger Auditor Views (`/history`)</w:t>
            </w:r>
          </w:p>
        </w:tc>
        <w:tc>
          <w:tcPr>
            <w:tcW w:type="dxa" w:w="3120"/>
            <w:tcMar>
              <w:top w:w="100" w:type="dxa"/>
              <w:bottom w:w="100" w:type="dxa"/>
              <w:left w:w="120" w:type="dxa"/>
              <w:right w:w="120" w:type="dxa"/>
            </w:tcMar>
          </w:tcPr>
          <w:p>
            <w:r>
              <w:t>GET `/api/transactions/log` (Fetches immutable, timestamped transaction records).</w:t>
            </w:r>
          </w:p>
        </w:tc>
      </w:tr>
      <w:tr>
        <w:tc>
          <w:tcPr>
            <w:tcW w:type="dxa" w:w="3120"/>
            <w:tcMar>
              <w:top w:w="100" w:type="dxa"/>
              <w:bottom w:w="100" w:type="dxa"/>
              <w:left w:w="120" w:type="dxa"/>
              <w:right w:w="120" w:type="dxa"/>
            </w:tcMar>
            <w:shd w:fill="F5F7FA"/>
          </w:tcPr>
          <w:p>
            <w:r>
              <w:t>8. Strategy Testing</w:t>
            </w:r>
          </w:p>
        </w:tc>
        <w:tc>
          <w:tcPr>
            <w:tcW w:type="dxa" w:w="3120"/>
            <w:tcMar>
              <w:top w:w="100" w:type="dxa"/>
              <w:bottom w:w="100" w:type="dxa"/>
              <w:left w:w="120" w:type="dxa"/>
              <w:right w:w="120" w:type="dxa"/>
            </w:tcMar>
            <w:shd w:fill="F5F7FA"/>
          </w:tcPr>
          <w:p>
            <w:r>
              <w:t>Analytical Graph Modals (`/analytics`)</w:t>
            </w:r>
          </w:p>
        </w:tc>
        <w:tc>
          <w:tcPr>
            <w:tcW w:type="dxa" w:w="3120"/>
            <w:tcMar>
              <w:top w:w="100" w:type="dxa"/>
              <w:bottom w:w="100" w:type="dxa"/>
              <w:left w:w="120" w:type="dxa"/>
              <w:right w:w="120" w:type="dxa"/>
            </w:tcMar>
            <w:shd w:fill="F5F7FA"/>
          </w:tcPr>
          <w:p>
            <w:r>
              <w:t>GET `/api/analytics/historical` (Queries time-series metrics for performance checks).</w:t>
            </w:r>
          </w:p>
        </w:tc>
      </w:tr>
      <w:tr>
        <w:tc>
          <w:tcPr>
            <w:tcW w:type="dxa" w:w="3120"/>
            <w:tcMar>
              <w:top w:w="100" w:type="dxa"/>
              <w:bottom w:w="100" w:type="dxa"/>
              <w:left w:w="120" w:type="dxa"/>
              <w:right w:w="120" w:type="dxa"/>
            </w:tcMar>
          </w:tcPr>
          <w:p>
            <w:r>
              <w:t>9. Logout</w:t>
            </w:r>
          </w:p>
        </w:tc>
        <w:tc>
          <w:tcPr>
            <w:tcW w:type="dxa" w:w="3120"/>
            <w:tcMar>
              <w:top w:w="100" w:type="dxa"/>
              <w:bottom w:w="100" w:type="dxa"/>
              <w:left w:w="120" w:type="dxa"/>
              <w:right w:w="120" w:type="dxa"/>
            </w:tcMar>
          </w:tcPr>
          <w:p>
            <w:r>
              <w:t>Action Component Trigger (`/logout`)</w:t>
            </w:r>
          </w:p>
        </w:tc>
        <w:tc>
          <w:tcPr>
            <w:tcW w:type="dxa" w:w="3120"/>
            <w:tcMar>
              <w:top w:w="100" w:type="dxa"/>
              <w:bottom w:w="100" w:type="dxa"/>
              <w:left w:w="120" w:type="dxa"/>
              <w:right w:w="120" w:type="dxa"/>
            </w:tcMar>
          </w:tcPr>
          <w:p>
            <w:r>
              <w:t>Invalidation of client access tokens and clean termination of state sessions.</w:t>
            </w:r>
          </w:p>
        </w:tc>
      </w:tr>
    </w:tbl>
    <w:p>
      <w:pPr>
        <w:spacing w:before="120"/>
        <w:jc w:val="center"/>
      </w:pPr>
      <w:r>
        <w:rPr>
          <w:i/>
          <w:sz w:val="20"/>
        </w:rPr>
        <w:t>Table 1.1: Functional State Transition Mapping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