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20" w:after="120"/>
      </w:pPr>
      <w:r>
        <w:rPr>
          <w:rFonts w:ascii="Arial" w:hAnsi="Arial"/>
          <w:b/>
          <w:color w:val="1B365D"/>
          <w:sz w:val="32"/>
        </w:rPr>
        <w:t>1. FRONTEND CLIENT SETUP &amp; COMPONENT CONFIGURATION</w:t>
      </w:r>
    </w:p>
    <w:p>
      <w:pPr>
        <w:spacing w:line="360" w:lineRule="auto" w:after="240"/>
      </w:pPr>
      <w:r>
        <w:rPr>
          <w:i/>
        </w:rPr>
        <w:t xml:space="preserve">This section delivers an exhaustive project report detailing the frontend runtime setup, package initialization pipelines, and core asset rendering configurations optimized for the platform client, as governed by the development tracking blueprint </w:t>
      </w:r>
      <w:r>
        <w:rPr>
          <w:b/>
        </w:rPr>
        <w:t>image_47aed6.png</w:t>
      </w:r>
      <w:r>
        <w:t>. In production-grade Single Page Applications (SPAs) built with React 19, a structured initialization process is critical to ensure proper state management, mount type-safe client-side routing structures, configure optimized cache validation policies, and establish responsive asset bundles across the web environment.</w:t>
      </w:r>
    </w:p>
    <w:p>
      <w:pPr>
        <w:pStyle w:val="Heading2"/>
        <w:keepNext/>
        <w:spacing w:before="320" w:after="120"/>
      </w:pPr>
      <w:r>
        <w:rPr>
          <w:rFonts w:ascii="Arial" w:hAnsi="Arial"/>
          <w:b/>
          <w:color w:val="4A777A"/>
          <w:sz w:val="26"/>
        </w:rPr>
        <w:t>1.1 Schematic Frontend Client Initialization Blueprint</w:t>
      </w:r>
    </w:p>
    <w:p>
      <w:pPr>
        <w:spacing w:line="360" w:lineRule="auto"/>
      </w:pPr>
      <w:r>
        <w:t>The sequential build routines, bundle compilation phases, and configuration layers required to move the application client from raw source code into an interactive user web layout have been organized into a technical ASCII flowchart below. This map highlights the continuous compilation steps needed to launch the interface environment:</w:t>
      </w:r>
    </w:p>
    <w:p>
      <w:pPr>
        <w:spacing w:before="120" w:after="120"/>
        <w:jc w:val="center"/>
      </w:pPr>
      <w:r>
        <w:rPr>
          <w:rFonts w:ascii="Courier New" w:hAnsi="Courier New"/>
          <w:b/>
          <w:color w:val="1B365D"/>
          <w:sz w:val="17"/>
        </w:rPr>
        <w:t>=========================================================================================</w:t>
        <w:br/>
        <w:t xml:space="preserve">                                 FRONTEND CLIENT BUILD ENGINE LIFE CYCLE                  </w:t>
        <w:br/>
        <w:t>=========================================================================================</w:t>
        <w:br/>
        <w:t xml:space="preserve">                                                                                         </w:t>
        <w:br/>
        <w:t xml:space="preserve">      [ SYSTEM TERMINAL ENVIRONMENT ]                                                    </w:t>
        <w:br/>
        <w:t xml:space="preserve">                       |                                                                 </w:t>
        <w:br/>
        <w:t xml:space="preserve">                       v                                                                 </w:t>
        <w:br/>
        <w:t xml:space="preserve">         [ DEPENDENCY RESOLUTION ] =====( Reads package.json File Configuration )======+ </w:t>
        <w:br/>
        <w:t xml:space="preserve">                       |                                                              |  </w:t>
        <w:br/>
        <w:t xml:space="preserve">                       v                                                              v  </w:t>
        <w:br/>
        <w:t xml:space="preserve">         [ VITE COMPILER CORE RUNTIME ]                                      [ TAILWIND CSS COMPILER ]</w:t>
        <w:br/>
        <w:t xml:space="preserve">                       |                                                       (Utility-First Processing)</w:t>
        <w:br/>
        <w:t xml:space="preserve">                       v                                                              |  </w:t>
        <w:br/>
        <w:t xml:space="preserve">         [ CLIENT LAYER MOUNTING STAGE ]                                              v  </w:t>
        <w:br/>
        <w:t xml:space="preserve">          (TanStack Router / Start Integration)                              [ ASSET OPTIMIZATION ] </w:t>
        <w:br/>
        <w:t xml:space="preserve">                       |                                                       (ShadCN / Components) </w:t>
        <w:br/>
        <w:t xml:space="preserve">                       v                                                              |  </w:t>
        <w:br/>
        <w:t xml:space="preserve">         [ LOCAL BROWSER VIEW HOOK ACTIVATION ] &lt;=====================================+  </w:t>
        <w:br/>
        <w:t xml:space="preserve">         (Localhost:5173 / Vercel Edge Server Nodes)                                     </w:t>
        <w:br/>
        <w:t xml:space="preserve">                                                                                         </w:t>
        <w:br/>
        <w:t>=========================================================================================</w:t>
        <w:br/>
        <w:t xml:space="preserve">                             FIGURE 1.1: Frontend React 19 / Vite Setup Pipeline         </w:t>
        <w:br/>
        <w:t>=========================================================================================</w:t>
      </w:r>
    </w:p>
    <w:p>
      <w:pPr>
        <w:jc w:val="center"/>
      </w:pPr>
      <w:r>
        <w:rPr>
          <w:i/>
        </w:rPr>
        <w:t>[Insert Client Setup Dashboard Screenshot - Vite Compilation Logs and Local Dev Server Port Allocations]</w:t>
      </w:r>
    </w:p>
    <w:p>
      <w:r>
        <w:br w:type="page"/>
      </w:r>
    </w:p>
    <w:p>
      <w:pPr>
        <w:pStyle w:val="Heading2"/>
        <w:keepNext/>
        <w:spacing w:before="320" w:after="120"/>
      </w:pPr>
      <w:r>
        <w:rPr>
          <w:rFonts w:ascii="Arial" w:hAnsi="Arial"/>
          <w:b/>
          <w:color w:val="4A777A"/>
          <w:sz w:val="26"/>
        </w:rPr>
        <w:t>1.2 Detailed Breakdown of Frontend Client Modules</w:t>
      </w:r>
    </w:p>
    <w:p>
      <w:r>
        <w:t>The frontend construction process coordinates UI frameworks and state optimization managers across five distinct configuration modules:</w:t>
      </w:r>
    </w:p>
    <w:p>
      <w:pPr>
        <w:spacing w:line="360" w:lineRule="auto"/>
        <w:ind w:left="360"/>
      </w:pPr>
      <w:r>
        <w:rPr>
          <w:b/>
        </w:rPr>
        <w:t xml:space="preserve">1. Workspace Provisioning and Package Resolution: </w:t>
      </w:r>
      <w:r>
        <w:t>Manages node library installation pipelines. By parsing structural project lock files, this framework downlinks and links specific core packages (React 19, TypeScript utilities, and Vite bundlers), ensuring that development components compile consistently across workstations.</w:t>
      </w:r>
    </w:p>
    <w:p>
      <w:pPr>
        <w:spacing w:line="360" w:lineRule="auto"/>
        <w:ind w:left="360"/>
      </w:pPr>
      <w:r>
        <w:rPr>
          <w:b/>
        </w:rPr>
        <w:t xml:space="preserve">2. Type-Safe Client-Side Navigation Routing: </w:t>
      </w:r>
      <w:r>
        <w:t>Configures advanced client-side navigation paths via type-safe tools (TanStack Router &amp; Start). This block prevents typical parameter mapping runtime errors, establishing precise access control boundaries that redirect unauthorized requests to verification gateways before loading protected views.</w:t>
      </w:r>
    </w:p>
    <w:p>
      <w:pPr>
        <w:spacing w:line="360" w:lineRule="auto"/>
        <w:ind w:left="360"/>
      </w:pPr>
      <w:r>
        <w:rPr>
          <w:b/>
        </w:rPr>
        <w:t xml:space="preserve">3. Asynchronous Server State Synchronization Cache: </w:t>
      </w:r>
      <w:r>
        <w:t>Integrates asynchronous query caching managers (React Query). This system controls background fetching routines, eliminates redundant network requests, manages response statuses, and synchronizes user portfolio equity evaluations instantly when trades resolve.</w:t>
      </w:r>
    </w:p>
    <w:p>
      <w:pPr>
        <w:spacing w:line="360" w:lineRule="auto"/>
        <w:ind w:left="360"/>
      </w:pPr>
      <w:r>
        <w:rPr>
          <w:b/>
        </w:rPr>
        <w:t xml:space="preserve">4. Utility-First Design Engine Processing: </w:t>
      </w:r>
      <w:r>
        <w:t>Compiles the platform styling infrastructure using Tailwind CSS configuration rules. It processes layouts into optimized design vectors, eliminating unused style metadata to deliver fluid, low-overhead client experiences across all screen dimensions.</w:t>
      </w:r>
    </w:p>
    <w:p>
      <w:pPr>
        <w:spacing w:line="360" w:lineRule="auto"/>
        <w:ind w:left="360"/>
      </w:pPr>
      <w:r>
        <w:rPr>
          <w:b/>
        </w:rPr>
        <w:t xml:space="preserve">5. Component Assembly and Layout Injection: </w:t>
      </w:r>
      <w:r>
        <w:t>Mounts reusable component layouts into the application DOM tree. This block connects modular UI panels (ShadCN UI cards, inputs, and tables) with background data hooks, providing an intuitive, interactive trading interface for the end-user.</w:t>
      </w:r>
    </w:p>
    <w:p>
      <w:pPr>
        <w:pStyle w:val="Heading2"/>
        <w:keepNext/>
        <w:spacing w:before="320" w:after="120"/>
      </w:pPr>
      <w:r>
        <w:rPr>
          <w:rFonts w:ascii="Arial" w:hAnsi="Arial"/>
          <w:b/>
          <w:color w:val="4A777A"/>
          <w:sz w:val="26"/>
        </w:rPr>
        <w:t>1.3 Core Client-Side Development Stack Dependency Specifications</w:t>
      </w:r>
    </w:p>
    <w:p>
      <w:pPr>
        <w:spacing w:line="360" w:lineRule="auto"/>
      </w:pPr>
      <w:r>
        <w:t>To ensure consistent project builds across localized workstations and automated cloud pipelines, the core frontend technologies and dependencies are detailed in the structural reference table below:</w:t>
      </w:r>
    </w:p>
    <w:tbl>
      <w:tblPr>
        <w:tblW w:type="auto" w:w="0"/>
        <w:jc w:val="center"/>
        <w:tblLook w:firstColumn="1" w:firstRow="1" w:lastColumn="0" w:lastRow="0" w:noHBand="0" w:noVBand="1" w:val="04A0"/>
      </w:tblPr>
      <w:tblGrid>
        <w:gridCol w:w="3120"/>
        <w:gridCol w:w="3120"/>
        <w:gridCol w:w="3120"/>
      </w:tblGrid>
      <w:tr>
        <w:tc>
          <w:tcPr>
            <w:tcW w:type="dxa" w:w="3120"/>
            <w:shd w:fill="1B365D"/>
          </w:tcPr>
          <w:p>
            <w:r>
              <w:rPr>
                <w:b/>
                <w:color w:val="FFFFFF"/>
              </w:rPr>
              <w:t>Frontend Dependency Tool</w:t>
            </w:r>
          </w:p>
        </w:tc>
        <w:tc>
          <w:tcPr>
            <w:tcW w:type="dxa" w:w="3120"/>
            <w:shd w:fill="1B365D"/>
          </w:tcPr>
          <w:p>
            <w:r>
              <w:rPr>
                <w:b/>
                <w:color w:val="FFFFFF"/>
              </w:rPr>
              <w:t>Architectural Layer Allocation</w:t>
            </w:r>
          </w:p>
        </w:tc>
        <w:tc>
          <w:tcPr>
            <w:tcW w:type="dxa" w:w="3120"/>
            <w:shd w:fill="1B365D"/>
          </w:tcPr>
          <w:p>
            <w:r>
              <w:rPr>
                <w:b/>
                <w:color w:val="FFFFFF"/>
              </w:rPr>
              <w:t>Core Operational Impact &amp; Purpose</w:t>
            </w:r>
          </w:p>
        </w:tc>
      </w:tr>
      <w:tr>
        <w:tc>
          <w:tcPr>
            <w:tcW w:type="dxa" w:w="3120"/>
            <w:tcMar>
              <w:top w:w="120" w:type="dxa"/>
              <w:bottom w:w="120" w:type="dxa"/>
              <w:left w:w="140" w:type="dxa"/>
              <w:right w:w="140" w:type="dxa"/>
            </w:tcMar>
          </w:tcPr>
          <w:p>
            <w:r>
              <w:t>React 19 &amp; TypeScript</w:t>
            </w:r>
          </w:p>
        </w:tc>
        <w:tc>
          <w:tcPr>
            <w:tcW w:type="dxa" w:w="3120"/>
            <w:tcMar>
              <w:top w:w="120" w:type="dxa"/>
              <w:bottom w:w="120" w:type="dxa"/>
              <w:left w:w="140" w:type="dxa"/>
              <w:right w:w="140" w:type="dxa"/>
            </w:tcMar>
          </w:tcPr>
          <w:p>
            <w:r>
              <w:t>Core Framework / Strong Typing</w:t>
            </w:r>
          </w:p>
        </w:tc>
        <w:tc>
          <w:tcPr>
            <w:tcW w:type="dxa" w:w="3120"/>
            <w:tcMar>
              <w:top w:w="120" w:type="dxa"/>
              <w:bottom w:w="120" w:type="dxa"/>
              <w:left w:w="140" w:type="dxa"/>
              <w:right w:w="140" w:type="dxa"/>
            </w:tcMar>
          </w:tcPr>
          <w:p>
            <w:r>
              <w:t>Provides a declarative layout rendering system with structural compile-time type verification, minimizing runtime exceptions.</w:t>
            </w:r>
          </w:p>
        </w:tc>
      </w:tr>
      <w:tr>
        <w:tc>
          <w:tcPr>
            <w:tcW w:type="dxa" w:w="3120"/>
            <w:tcMar>
              <w:top w:w="120" w:type="dxa"/>
              <w:bottom w:w="120" w:type="dxa"/>
              <w:left w:w="140" w:type="dxa"/>
              <w:right w:w="140" w:type="dxa"/>
            </w:tcMar>
            <w:shd w:fill="F5F7FA"/>
          </w:tcPr>
          <w:p>
            <w:r>
              <w:t>Vite</w:t>
            </w:r>
          </w:p>
        </w:tc>
        <w:tc>
          <w:tcPr>
            <w:tcW w:type="dxa" w:w="3120"/>
            <w:tcMar>
              <w:top w:w="120" w:type="dxa"/>
              <w:bottom w:w="120" w:type="dxa"/>
              <w:left w:w="140" w:type="dxa"/>
              <w:right w:w="140" w:type="dxa"/>
            </w:tcMar>
            <w:shd w:fill="F5F7FA"/>
          </w:tcPr>
          <w:p>
            <w:r>
              <w:t>Bundler / Local Dev Server</w:t>
            </w:r>
          </w:p>
        </w:tc>
        <w:tc>
          <w:tcPr>
            <w:tcW w:type="dxa" w:w="3120"/>
            <w:tcMar>
              <w:top w:w="120" w:type="dxa"/>
              <w:bottom w:w="120" w:type="dxa"/>
              <w:left w:w="140" w:type="dxa"/>
              <w:right w:w="140" w:type="dxa"/>
            </w:tcMar>
            <w:shd w:fill="F5F7FA"/>
          </w:tcPr>
          <w:p>
            <w:r>
              <w:t>Leverages native ES module loading to provide near-instant hot module replacement (HMR), optimizing build compilation workflows.</w:t>
            </w:r>
          </w:p>
        </w:tc>
      </w:tr>
      <w:tr>
        <w:tc>
          <w:tcPr>
            <w:tcW w:type="dxa" w:w="3120"/>
            <w:tcMar>
              <w:top w:w="120" w:type="dxa"/>
              <w:bottom w:w="120" w:type="dxa"/>
              <w:left w:w="140" w:type="dxa"/>
              <w:right w:w="140" w:type="dxa"/>
            </w:tcMar>
          </w:tcPr>
          <w:p>
            <w:r>
              <w:t>TanStack Router &amp; Start</w:t>
            </w:r>
          </w:p>
        </w:tc>
        <w:tc>
          <w:tcPr>
            <w:tcW w:type="dxa" w:w="3120"/>
            <w:tcMar>
              <w:top w:w="120" w:type="dxa"/>
              <w:bottom w:w="120" w:type="dxa"/>
              <w:left w:w="140" w:type="dxa"/>
              <w:right w:w="140" w:type="dxa"/>
            </w:tcMar>
          </w:tcPr>
          <w:p>
            <w:r>
              <w:t>Client-Side Route Manager</w:t>
            </w:r>
          </w:p>
        </w:tc>
        <w:tc>
          <w:tcPr>
            <w:tcW w:type="dxa" w:w="3120"/>
            <w:tcMar>
              <w:top w:w="120" w:type="dxa"/>
              <w:bottom w:w="120" w:type="dxa"/>
              <w:left w:w="140" w:type="dxa"/>
              <w:right w:w="140" w:type="dxa"/>
            </w:tcMar>
          </w:tcPr>
          <w:p>
            <w:r>
              <w:t>Enforces type-safe routing controls, route validations, and deep-path navigation parameter validation checks across view trees.</w:t>
            </w:r>
          </w:p>
        </w:tc>
      </w:tr>
      <w:tr>
        <w:tc>
          <w:tcPr>
            <w:tcW w:type="dxa" w:w="3120"/>
            <w:tcMar>
              <w:top w:w="120" w:type="dxa"/>
              <w:bottom w:w="120" w:type="dxa"/>
              <w:left w:w="140" w:type="dxa"/>
              <w:right w:w="140" w:type="dxa"/>
            </w:tcMar>
            <w:shd w:fill="F5F7FA"/>
          </w:tcPr>
          <w:p>
            <w:r>
              <w:t>React Query (TanStack)</w:t>
            </w:r>
          </w:p>
        </w:tc>
        <w:tc>
          <w:tcPr>
            <w:tcW w:type="dxa" w:w="3120"/>
            <w:tcMar>
              <w:top w:w="120" w:type="dxa"/>
              <w:bottom w:w="120" w:type="dxa"/>
              <w:left w:w="140" w:type="dxa"/>
              <w:right w:w="140" w:type="dxa"/>
            </w:tcMar>
            <w:shd w:fill="F5F7FA"/>
          </w:tcPr>
          <w:p>
            <w:r>
              <w:t>Asynchronous Server-State Cache</w:t>
            </w:r>
          </w:p>
        </w:tc>
        <w:tc>
          <w:tcPr>
            <w:tcW w:type="dxa" w:w="3120"/>
            <w:tcMar>
              <w:top w:w="120" w:type="dxa"/>
              <w:bottom w:w="120" w:type="dxa"/>
              <w:left w:w="140" w:type="dxa"/>
              <w:right w:w="140" w:type="dxa"/>
            </w:tcMar>
            <w:shd w:fill="F5F7FA"/>
          </w:tcPr>
          <w:p>
            <w:r>
              <w:t>Caches stock pricing metrics, manages background fetch synchronizations, and handles client data revalidation loops seamlessly.</w:t>
            </w:r>
          </w:p>
        </w:tc>
      </w:tr>
      <w:tr>
        <w:tc>
          <w:tcPr>
            <w:tcW w:type="dxa" w:w="3120"/>
            <w:tcMar>
              <w:top w:w="120" w:type="dxa"/>
              <w:bottom w:w="120" w:type="dxa"/>
              <w:left w:w="140" w:type="dxa"/>
              <w:right w:w="140" w:type="dxa"/>
            </w:tcMar>
          </w:tcPr>
          <w:p>
            <w:r>
              <w:t>Tailwind CSS &amp; ShadCN UI</w:t>
            </w:r>
          </w:p>
        </w:tc>
        <w:tc>
          <w:tcPr>
            <w:tcW w:type="dxa" w:w="3120"/>
            <w:tcMar>
              <w:top w:w="120" w:type="dxa"/>
              <w:bottom w:w="120" w:type="dxa"/>
              <w:left w:w="140" w:type="dxa"/>
              <w:right w:w="140" w:type="dxa"/>
            </w:tcMar>
          </w:tcPr>
          <w:p>
            <w:r>
              <w:t>Styling / Modular Component Views</w:t>
            </w:r>
          </w:p>
        </w:tc>
        <w:tc>
          <w:tcPr>
            <w:tcW w:type="dxa" w:w="3120"/>
            <w:tcMar>
              <w:top w:w="120" w:type="dxa"/>
              <w:bottom w:w="120" w:type="dxa"/>
              <w:left w:w="140" w:type="dxa"/>
              <w:right w:w="140" w:type="dxa"/>
            </w:tcMar>
          </w:tcPr>
          <w:p>
            <w:r>
              <w:t>Delivers utility-first layout structures and accessible, pre-configured component building blocks (buttons, inputs, tables).</w:t>
            </w:r>
          </w:p>
        </w:tc>
      </w:tr>
    </w:tbl>
    <w:p>
      <w:pPr>
        <w:jc w:val="center"/>
      </w:pPr>
      <w:r>
        <w:rPr>
          <w:i/>
          <w:sz w:val="20"/>
        </w:rPr>
        <w:t>Table 1.1: Frontend Client Workspace Dependencies and Library Map</w:t>
      </w:r>
    </w:p>
    <w:p>
      <w:r>
        <w:br w:type="page"/>
      </w:r>
    </w:p>
    <w:p>
      <w:pPr>
        <w:pStyle w:val="Heading2"/>
        <w:keepNext/>
        <w:spacing w:before="320" w:after="120"/>
      </w:pPr>
      <w:r>
        <w:rPr>
          <w:rFonts w:ascii="Arial" w:hAnsi="Arial"/>
          <w:b/>
          <w:color w:val="4A777A"/>
          <w:sz w:val="26"/>
        </w:rPr>
        <w:t>1.4 Real-World Client Setup and Build Lifecycle</w:t>
      </w:r>
    </w:p>
    <w:p>
      <w:pPr>
        <w:spacing w:line="360" w:lineRule="auto"/>
      </w:pPr>
      <w:r>
        <w:t>The client-side bootstrap sequence processes configurations carefully to activate user layouts. When the development server command is initialized within terminal workspaces, Vite launches its local engine, reading configuration modules to resolve entry points. The bundle analyzer tracks structural dependency trees, parsing component views, type definitions, and styling properties concurrently. Tailwind CSS scans directory files, compiling required layout tokens into a minified style file, eliminating unused code to optimize the final download size.</w:t>
        <w:br/>
        <w:br/>
        <w:t>Once the visual compilation completes, the client initializes its application state framework. The React entry script mounts the primary root layer into the browser DOM, instantiating global context elements. React Query sets up its client cache to manage background data workflows, while TanStack Router registers route guards across deep paths. Finally, the application establishes communication links with backend servers using clean HTTP client parameters (Axios), loading the login and landing layout panels instantly without full-page refreshes.</w:t>
      </w:r>
    </w:p>
    <w:p>
      <w:pPr>
        <w:pStyle w:val="Heading2"/>
        <w:keepNext/>
        <w:spacing w:before="320" w:after="120"/>
      </w:pPr>
      <w:r>
        <w:rPr>
          <w:rFonts w:ascii="Arial" w:hAnsi="Arial"/>
          <w:b/>
          <w:color w:val="4A777A"/>
          <w:sz w:val="26"/>
        </w:rPr>
        <w:t>1.5 Client-Side Fault Isolation and State Resilience</w:t>
      </w:r>
    </w:p>
    <w:p>
      <w:pPr>
        <w:spacing w:line="360" w:lineRule="auto"/>
      </w:pPr>
      <w:r>
        <w:t>To provide an excellent user experience, the client architecture integrates robust fault isolation controls. If backend API nodes experience intermittent network drops during live trading operations, React Query intercepts the connection drops, using automated back-off retry loops to fetch stock metrics without interrupting user interaction or crashing the interface layout. This prevents minor network errors from disrupting active trading simulations.</w:t>
        <w:br/>
        <w:br/>
        <w:t>Additionally, unexpected runtime rendering exceptions are isolated using custom error boundaries integrated across main navigation layouts. If an error occurs within a specific stock chart, the application captures the failure, logs the context for debugging, and renders a fallback error block within that component while keeping the rest of the dashboard active. This ensures that localized data errors cannot compromise the stability of the entire browser session, providing an isolated, reliable, and secure environment for simulated trading.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