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INITIAL DESIGN SCHEMA AND PROJECT STRUCTURE CONFIGURATION</w:t>
      </w:r>
    </w:p>
    <w:p>
      <w:pPr>
        <w:spacing w:line="360" w:lineRule="auto" w:after="240"/>
      </w:pPr>
      <w:r>
        <w:rPr>
          <w:i/>
        </w:rPr>
        <w:t xml:space="preserve">This section details the formal organizational layout, structural design schema boundaries, and workspace directory configurations established during the creation of the core repository environment, as specified in the tracking panel </w:t>
      </w:r>
      <w:r>
        <w:rPr>
          <w:b/>
        </w:rPr>
        <w:t>image_47b697.png</w:t>
      </w:r>
      <w:r>
        <w:t>. In production full-stack web engineering, establishing a modular directory layout early prevents structural code coupling, isolates client dependencies from backend runtime engines, optimizes build pipelines, and provides an organized foundation for team collaboration.</w:t>
      </w:r>
    </w:p>
    <w:p>
      <w:pPr>
        <w:pStyle w:val="Heading2"/>
        <w:keepNext/>
        <w:spacing w:before="320" w:after="120"/>
      </w:pPr>
      <w:r>
        <w:rPr>
          <w:rFonts w:ascii="Arial" w:hAnsi="Arial"/>
          <w:b/>
          <w:color w:val="4A777A"/>
          <w:sz w:val="26"/>
        </w:rPr>
        <w:t>1.1 Schematic Project Folder Architecture Blueprint</w:t>
      </w:r>
    </w:p>
    <w:p>
      <w:pPr>
        <w:spacing w:line="360" w:lineRule="auto"/>
      </w:pPr>
      <w:r>
        <w:t>The workspace tree, root directories, and configuration boundary segments required to initialize the full-stack repository have been structured into a technical ASCII blueprint map below. This diagram illustrates how client files and server components are organized at the root layer:</w:t>
      </w:r>
    </w:p>
    <w:p>
      <w:pPr>
        <w:spacing w:before="120" w:after="120"/>
        <w:jc w:val="center"/>
      </w:pPr>
      <w:r>
        <w:rPr>
          <w:rFonts w:ascii="Courier New" w:hAnsi="Courier New"/>
          <w:b/>
          <w:color w:val="1B365D"/>
          <w:sz w:val="17"/>
        </w:rPr>
        <w:t>=========================================================================================</w:t>
        <w:br/>
        <w:t xml:space="preserve">                                 SB STOCKS ROOT WORKSPACE ARCHITECTURE                   </w:t>
        <w:br/>
        <w:t>=========================================================================================</w:t>
        <w:br/>
        <w:t xml:space="preserve">                                                                                         </w:t>
        <w:br/>
        <w:t xml:space="preserve">    sb-stocks/ (Root Repository Directory Container)                                     </w:t>
        <w:br/>
        <w:t xml:space="preserve">    ├── public/                    # Global Asset Resources &amp; Vector Graphics            </w:t>
        <w:br/>
        <w:t xml:space="preserve">    ├── src/                       # Frontend Presentation Codebase (React 19)           </w:t>
        <w:br/>
        <w:t xml:space="preserve">    │   ├── components/            # Modular Interface Layout Units &amp; Reusable Cards     </w:t>
        <w:br/>
        <w:t xml:space="preserve">    │   ├── context/               # Global Authentication State Context Providers       </w:t>
        <w:br/>
        <w:t xml:space="preserve">    │   ├── routes/                # Type-Safe Application Navigation Streams            </w:t>
        <w:br/>
        <w:t xml:space="preserve">    │   └── main.tsx               # Client Core Virtual DOM Entry Bootstrap File        </w:t>
        <w:br/>
        <w:t xml:space="preserve">    ├── server/                    # Backend Operation Architecture (Node.js Core)       </w:t>
        <w:br/>
        <w:t xml:space="preserve">    │   ├── config/                # Cloud Database Handshake Pooling Parameters (.env)  </w:t>
        <w:br/>
        <w:t xml:space="preserve">    │   ├── controllers/           # Financial Business Transaction Modules              </w:t>
        <w:br/>
        <w:t xml:space="preserve">    │   ├── models/                # Mongoose Database Entity Blueprint Layouts          </w:t>
        <w:br/>
        <w:t xml:space="preserve">    │   └── server.js              # Network Express Port Configuration Bootstrap File   </w:t>
        <w:br/>
        <w:t xml:space="preserve">    ├── package.json               # Full-Stack Workspace Project Manifest Registry     </w:t>
        <w:br/>
        <w:t xml:space="preserve">    └── vite.config.ts             # Client Bundler Assembly Pipeline Parameters         </w:t>
        <w:br/>
        <w:t xml:space="preserve">                                                                                         </w:t>
        <w:br/>
        <w:t>=========================================================================================</w:t>
        <w:br/>
        <w:t xml:space="preserve">                             FIGURE 1.1: Root Workspace Folder Structure Mapping         </w:t>
        <w:br/>
        <w:t>=========================================================================================</w:t>
      </w:r>
    </w:p>
    <w:p>
      <w:pPr>
        <w:jc w:val="center"/>
      </w:pPr>
      <w:r>
        <w:rPr>
          <w:i/>
        </w:rPr>
        <w:t>[Insert Project Folder Scaffolding Dashboard Screenshot - Directory Workspace Layout Trees]</w:t>
      </w:r>
    </w:p>
    <w:p>
      <w:r>
        <w:br w:type="page"/>
      </w:r>
    </w:p>
    <w:p>
      <w:pPr>
        <w:pStyle w:val="Heading2"/>
        <w:keepNext/>
        <w:spacing w:before="320" w:after="120"/>
      </w:pPr>
      <w:r>
        <w:rPr>
          <w:rFonts w:ascii="Arial" w:hAnsi="Arial"/>
          <w:b/>
          <w:color w:val="4A777A"/>
          <w:sz w:val="26"/>
        </w:rPr>
        <w:t>1.2 Detailed Breakdown of Core Project Workspace Modules</w:t>
      </w:r>
    </w:p>
    <w:p>
      <w:r>
        <w:t>The workspace structure separates application assets, front-end presentation views, and backend service modules across five distinct configuration areas:</w:t>
      </w:r>
    </w:p>
    <w:p>
      <w:pPr>
        <w:spacing w:line="360" w:lineRule="auto"/>
        <w:ind w:left="360"/>
      </w:pPr>
      <w:r>
        <w:rPr>
          <w:b/>
        </w:rPr>
        <w:t xml:space="preserve">1. Root Repository Workspace Container: </w:t>
      </w:r>
      <w:r>
        <w:t>The root folder links all front-end and back-end modules together. It houses workspace settings files, compiler parameters, and manifest registries, managing the execution policies that keep client-side views and backend models synchronized.</w:t>
      </w:r>
    </w:p>
    <w:p>
      <w:pPr>
        <w:spacing w:line="360" w:lineRule="auto"/>
        <w:ind w:left="360"/>
      </w:pPr>
      <w:r>
        <w:rPr>
          <w:b/>
        </w:rPr>
        <w:t xml:space="preserve">2. Public Resource Directory: </w:t>
      </w:r>
      <w:r>
        <w:t>Acts as a static file server during execution, housing application assets that don't change during runtime. It stores vector graphics, responsive favicons, and localized site manifests, delivering resources directly to browser tabs without hitting the compilation pipeline.</w:t>
      </w:r>
    </w:p>
    <w:p>
      <w:pPr>
        <w:spacing w:line="360" w:lineRule="auto"/>
        <w:ind w:left="360"/>
      </w:pPr>
      <w:r>
        <w:rPr>
          <w:b/>
        </w:rPr>
        <w:t xml:space="preserve">3. Frontend Source Codebase Domain (src/): </w:t>
      </w:r>
      <w:r>
        <w:t>Houses the presentation layer assets. This directory organizes UI files, type-safe navigation paths, state context providers, and design theme properties, optimizing code compilation so components load quickly when users request them.</w:t>
      </w:r>
    </w:p>
    <w:p>
      <w:pPr>
        <w:spacing w:line="360" w:lineRule="auto"/>
        <w:ind w:left="360"/>
      </w:pPr>
      <w:r>
        <w:rPr>
          <w:b/>
        </w:rPr>
        <w:t xml:space="preserve">4. Backend Core Runtime Service Domain (server/): </w:t>
      </w:r>
      <w:r>
        <w:t>Houses all server-side assets. This folder structures routing handlers, authentication filters, and business logic files into independent modules, isolating the application engines from public client interactions.</w:t>
      </w:r>
    </w:p>
    <w:p>
      <w:pPr>
        <w:spacing w:line="360" w:lineRule="auto"/>
        <w:ind w:left="360"/>
      </w:pPr>
      <w:r>
        <w:rPr>
          <w:b/>
        </w:rPr>
        <w:t xml:space="preserve">5. Project Manifest and Compilation Manifest Configurations: </w:t>
      </w:r>
      <w:r>
        <w:t>Tracks project configurations, asset bundling rules, and dependency requirements. It ensures that runtime versions, environment variables, and third-party libraries remain identical across developer workstations and cloud environments.</w:t>
      </w:r>
    </w:p>
    <w:p>
      <w:pPr>
        <w:pStyle w:val="Heading2"/>
        <w:keepNext/>
        <w:spacing w:before="320" w:after="120"/>
      </w:pPr>
      <w:r>
        <w:rPr>
          <w:rFonts w:ascii="Arial" w:hAnsi="Arial"/>
          <w:b/>
          <w:color w:val="4A777A"/>
          <w:sz w:val="26"/>
        </w:rPr>
        <w:t>1.3 Technical Directory Purpose and Layout Specifications</w:t>
      </w:r>
    </w:p>
    <w:p>
      <w:pPr>
        <w:spacing w:line="360" w:lineRule="auto"/>
      </w:pPr>
      <w:r>
        <w:t>To help engineers replicate the development setup and ensure consistent deployment baselines, the core workspace directories have been detailed in the reference table below:</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Workspace Path Node</w:t>
            </w:r>
          </w:p>
        </w:tc>
        <w:tc>
          <w:tcPr>
            <w:tcW w:type="dxa" w:w="3120"/>
            <w:shd w:fill="1B365D"/>
          </w:tcPr>
          <w:p>
            <w:r>
              <w:rPr>
                <w:b/>
                <w:color w:val="FFFFFF"/>
              </w:rPr>
              <w:t>Target Technology Mapping</w:t>
            </w:r>
          </w:p>
        </w:tc>
        <w:tc>
          <w:tcPr>
            <w:tcW w:type="dxa" w:w="3120"/>
            <w:shd w:fill="1B365D"/>
          </w:tcPr>
          <w:p>
            <w:r>
              <w:rPr>
                <w:b/>
                <w:color w:val="FFFFFF"/>
              </w:rPr>
              <w:t>Core Structural Impact &amp; Architectural Purpose</w:t>
            </w:r>
          </w:p>
        </w:tc>
      </w:tr>
      <w:tr>
        <w:tc>
          <w:tcPr>
            <w:tcW w:type="dxa" w:w="3120"/>
            <w:tcMar>
              <w:top w:w="120" w:type="dxa"/>
              <w:bottom w:w="120" w:type="dxa"/>
              <w:left w:w="140" w:type="dxa"/>
              <w:right w:w="140" w:type="dxa"/>
            </w:tcMar>
          </w:tcPr>
          <w:p>
            <w:r>
              <w:t>/public</w:t>
            </w:r>
          </w:p>
        </w:tc>
        <w:tc>
          <w:tcPr>
            <w:tcW w:type="dxa" w:w="3120"/>
            <w:tcMar>
              <w:top w:w="120" w:type="dxa"/>
              <w:bottom w:w="120" w:type="dxa"/>
              <w:left w:w="140" w:type="dxa"/>
              <w:right w:w="140" w:type="dxa"/>
            </w:tcMar>
          </w:tcPr>
          <w:p>
            <w:r>
              <w:t>Static Server Assets / Icons</w:t>
            </w:r>
          </w:p>
        </w:tc>
        <w:tc>
          <w:tcPr>
            <w:tcW w:type="dxa" w:w="3120"/>
            <w:tcMar>
              <w:top w:w="120" w:type="dxa"/>
              <w:bottom w:w="120" w:type="dxa"/>
              <w:left w:w="140" w:type="dxa"/>
              <w:right w:w="140" w:type="dxa"/>
            </w:tcMar>
          </w:tcPr>
          <w:p>
            <w:r>
              <w:t>Houses static resources like images and branding materials that bypass build processing, serving assets directly to client web browsers.</w:t>
            </w:r>
          </w:p>
        </w:tc>
      </w:tr>
      <w:tr>
        <w:tc>
          <w:tcPr>
            <w:tcW w:type="dxa" w:w="3120"/>
            <w:tcMar>
              <w:top w:w="120" w:type="dxa"/>
              <w:bottom w:w="120" w:type="dxa"/>
              <w:left w:w="140" w:type="dxa"/>
              <w:right w:w="140" w:type="dxa"/>
            </w:tcMar>
            <w:shd w:fill="F5F7FA"/>
          </w:tcPr>
          <w:p>
            <w:r>
              <w:t>/src/components</w:t>
            </w:r>
          </w:p>
        </w:tc>
        <w:tc>
          <w:tcPr>
            <w:tcW w:type="dxa" w:w="3120"/>
            <w:tcMar>
              <w:top w:w="120" w:type="dxa"/>
              <w:bottom w:w="120" w:type="dxa"/>
              <w:left w:w="140" w:type="dxa"/>
              <w:right w:w="140" w:type="dxa"/>
            </w:tcMar>
            <w:shd w:fill="F5F7FA"/>
          </w:tcPr>
          <w:p>
            <w:r>
              <w:t>React 19 Functional Layouts</w:t>
            </w:r>
          </w:p>
        </w:tc>
        <w:tc>
          <w:tcPr>
            <w:tcW w:type="dxa" w:w="3120"/>
            <w:tcMar>
              <w:top w:w="120" w:type="dxa"/>
              <w:bottom w:w="120" w:type="dxa"/>
              <w:left w:w="140" w:type="dxa"/>
              <w:right w:w="140" w:type="dxa"/>
            </w:tcMar>
            <w:shd w:fill="F5F7FA"/>
          </w:tcPr>
          <w:p>
            <w:r>
              <w:t>Organizes reusable user interface elements like interactive cards and layout modules to keep styling separated from data retrieval logic.</w:t>
            </w:r>
          </w:p>
        </w:tc>
      </w:tr>
      <w:tr>
        <w:tc>
          <w:tcPr>
            <w:tcW w:type="dxa" w:w="3120"/>
            <w:tcMar>
              <w:top w:w="120" w:type="dxa"/>
              <w:bottom w:w="120" w:type="dxa"/>
              <w:left w:w="140" w:type="dxa"/>
              <w:right w:w="140" w:type="dxa"/>
            </w:tcMar>
          </w:tcPr>
          <w:p>
            <w:r>
              <w:t>/src/routes</w:t>
            </w:r>
          </w:p>
        </w:tc>
        <w:tc>
          <w:tcPr>
            <w:tcW w:type="dxa" w:w="3120"/>
            <w:tcMar>
              <w:top w:w="120" w:type="dxa"/>
              <w:bottom w:w="120" w:type="dxa"/>
              <w:left w:w="140" w:type="dxa"/>
              <w:right w:w="140" w:type="dxa"/>
            </w:tcMar>
          </w:tcPr>
          <w:p>
            <w:r>
              <w:t>Type-Safe Component Navigation</w:t>
            </w:r>
          </w:p>
        </w:tc>
        <w:tc>
          <w:tcPr>
            <w:tcW w:type="dxa" w:w="3120"/>
            <w:tcMar>
              <w:top w:w="120" w:type="dxa"/>
              <w:bottom w:w="120" w:type="dxa"/>
              <w:left w:w="140" w:type="dxa"/>
              <w:right w:w="140" w:type="dxa"/>
            </w:tcMar>
          </w:tcPr>
          <w:p>
            <w:r>
              <w:t>Defines the application's client-side paths, using strict compilation parameters to catch dead links early during build cycles.</w:t>
            </w:r>
          </w:p>
        </w:tc>
      </w:tr>
      <w:tr>
        <w:tc>
          <w:tcPr>
            <w:tcW w:type="dxa" w:w="3120"/>
            <w:tcMar>
              <w:top w:w="120" w:type="dxa"/>
              <w:bottom w:w="120" w:type="dxa"/>
              <w:left w:w="140" w:type="dxa"/>
              <w:right w:w="140" w:type="dxa"/>
            </w:tcMar>
            <w:shd w:fill="F5F7FA"/>
          </w:tcPr>
          <w:p>
            <w:r>
              <w:t>/server/controllers</w:t>
            </w:r>
          </w:p>
        </w:tc>
        <w:tc>
          <w:tcPr>
            <w:tcW w:type="dxa" w:w="3120"/>
            <w:tcMar>
              <w:top w:w="120" w:type="dxa"/>
              <w:bottom w:w="120" w:type="dxa"/>
              <w:left w:w="140" w:type="dxa"/>
              <w:right w:w="140" w:type="dxa"/>
            </w:tcMar>
            <w:shd w:fill="F5F7FA"/>
          </w:tcPr>
          <w:p>
            <w:r>
              <w:t>Node.js / Express Controllers</w:t>
            </w:r>
          </w:p>
        </w:tc>
        <w:tc>
          <w:tcPr>
            <w:tcW w:type="dxa" w:w="3120"/>
            <w:tcMar>
              <w:top w:w="120" w:type="dxa"/>
              <w:bottom w:w="120" w:type="dxa"/>
              <w:left w:w="140" w:type="dxa"/>
              <w:right w:w="140" w:type="dxa"/>
            </w:tcMar>
            <w:shd w:fill="F5F7FA"/>
          </w:tcPr>
          <w:p>
            <w:r>
              <w:t>Processes business logic commands, verifying trade balances and logging transactions before passing instructions to the data layer.</w:t>
            </w:r>
          </w:p>
        </w:tc>
      </w:tr>
      <w:tr>
        <w:tc>
          <w:tcPr>
            <w:tcW w:type="dxa" w:w="3120"/>
            <w:tcMar>
              <w:top w:w="120" w:type="dxa"/>
              <w:bottom w:w="120" w:type="dxa"/>
              <w:left w:w="140" w:type="dxa"/>
              <w:right w:w="140" w:type="dxa"/>
            </w:tcMar>
          </w:tcPr>
          <w:p>
            <w:r>
              <w:t>/server/models</w:t>
            </w:r>
          </w:p>
        </w:tc>
        <w:tc>
          <w:tcPr>
            <w:tcW w:type="dxa" w:w="3120"/>
            <w:tcMar>
              <w:top w:w="120" w:type="dxa"/>
              <w:bottom w:w="120" w:type="dxa"/>
              <w:left w:w="140" w:type="dxa"/>
              <w:right w:w="140" w:type="dxa"/>
            </w:tcMar>
          </w:tcPr>
          <w:p>
            <w:r>
              <w:t>Mongoose Structural blue-prints</w:t>
            </w:r>
          </w:p>
        </w:tc>
        <w:tc>
          <w:tcPr>
            <w:tcW w:type="dxa" w:w="3120"/>
            <w:tcMar>
              <w:top w:w="120" w:type="dxa"/>
              <w:bottom w:w="120" w:type="dxa"/>
              <w:left w:w="140" w:type="dxa"/>
              <w:right w:w="140" w:type="dxa"/>
            </w:tcMar>
          </w:tcPr>
          <w:p>
            <w:r>
              <w:t>Enforces strict validation rules, formatting properties, and data constraints on database entries before they hit the cloud container.</w:t>
            </w:r>
          </w:p>
        </w:tc>
      </w:tr>
    </w:tbl>
    <w:p>
      <w:pPr>
        <w:jc w:val="center"/>
      </w:pPr>
      <w:r>
        <w:rPr>
          <w:i/>
          <w:sz w:val="20"/>
        </w:rPr>
        <w:t>Table 1.1: Root Workspace Component Layout and Architecture Map</w:t>
      </w:r>
    </w:p>
    <w:p>
      <w:r>
        <w:br w:type="page"/>
      </w:r>
    </w:p>
    <w:p>
      <w:pPr>
        <w:pStyle w:val="Heading2"/>
        <w:keepNext/>
        <w:spacing w:before="320" w:after="120"/>
      </w:pPr>
      <w:r>
        <w:rPr>
          <w:rFonts w:ascii="Arial" w:hAnsi="Arial"/>
          <w:b/>
          <w:color w:val="4A777A"/>
          <w:sz w:val="26"/>
        </w:rPr>
        <w:t>1.4 Real-World Project Scaffolding and Component Life Cycle</w:t>
      </w:r>
    </w:p>
    <w:p>
      <w:pPr>
        <w:spacing w:line="360" w:lineRule="auto"/>
      </w:pPr>
      <w:r>
        <w:t>The directory tree guides how data flows through the full-stack system. When a user executes a trade through a component in the frontend directory, the browser processes the action via type-safe navigation rules, checking validation states before packaging the transaction variables. The client packages these parameters into an HTTP command and forwards it across the network layer. This structured separation helps avoid code overlap, ensuring that front-end changes cannot compromise core application logic.</w:t>
        <w:br/>
        <w:br/>
        <w:t>On the server side, the backend controller catches the incoming command, verifying security tokens before processing the trade details. It passes the instructions to the schema layer, which runs final data integrity checks before committing updates to the cloud database container. This decoupled workflow isolates system errors, ensuring a failure within a front-end module cannot crash backend processing threads, keeping the simulation environment stable and secure.</w:t>
      </w:r>
    </w:p>
    <w:p>
      <w:pPr>
        <w:pStyle w:val="Heading2"/>
        <w:keepNext/>
        <w:spacing w:before="320" w:after="120"/>
      </w:pPr>
      <w:r>
        <w:rPr>
          <w:rFonts w:ascii="Arial" w:hAnsi="Arial"/>
          <w:b/>
          <w:color w:val="4A777A"/>
          <w:sz w:val="26"/>
        </w:rPr>
        <w:t>1.5 Codebase Modularization and Scalability Benefits</w:t>
      </w:r>
    </w:p>
    <w:p>
      <w:pPr>
        <w:spacing w:line="360" w:lineRule="auto"/>
      </w:pPr>
      <w:r>
        <w:t>Structuring the workspace into clear directory domains provides major advantages for long-term project maintenance and software scalability. Because components are decoupled from server routes, engineers can update interface styles or refactor front-end layouts without touching backend controllers or risking database errors. This independent iteration minimizes development friction during feature upgrades.</w:t>
        <w:br/>
        <w:br/>
        <w:t>Likewise, modifying backend rules, updating connection pools, or altering data schemas requires changes only within the server directory. This clear separation of concerns helps prevent unintended side-effects during deployment, simplifies debugging cycles, and allows developers to write clean, isolated unit tests. This structural design ensures the virtual trading simulator remains highly maintainable, secure, and reliable over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