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BACKEND SERVER ENVIRONMENTS &amp; SETUP SPECIFICATION</w:t>
      </w:r>
    </w:p>
    <w:p>
      <w:pPr>
        <w:spacing w:line="360" w:lineRule="auto" w:after="240"/>
      </w:pPr>
      <w:r>
        <w:rPr>
          <w:i/>
        </w:rPr>
        <w:t xml:space="preserve">This section delivers an exhaustive project specification detailing the structural runtime architecture, configuration layers, and environment parameters required to configure and initialize the backend server ecosystem for the platform, as cataloged in the engineering dashboard tracker </w:t>
      </w:r>
      <w:r>
        <w:rPr>
          <w:b/>
        </w:rPr>
        <w:t>image_47a6ff.png</w:t>
      </w:r>
      <w:r>
        <w:t>. In production-grade MERN architectures, configuring the runtime context is paramount to ensure low-latency API route parsing, preserve connection integrity with persistent cloud database silos, isolate sensitive credentials via secure token configurations, and establish robust handling for concurrent data workflows.</w:t>
      </w:r>
    </w:p>
    <w:p>
      <w:pPr>
        <w:pStyle w:val="Heading2"/>
        <w:keepNext/>
        <w:spacing w:before="320" w:after="120"/>
      </w:pPr>
      <w:r>
        <w:rPr>
          <w:rFonts w:ascii="Arial" w:hAnsi="Arial"/>
          <w:b/>
          <w:color w:val="4A777A"/>
          <w:sz w:val="26"/>
        </w:rPr>
        <w:t>1.1 Schematic Server Setup Flow and Initialization Blueprint</w:t>
      </w:r>
    </w:p>
    <w:p>
      <w:pPr>
        <w:spacing w:line="360" w:lineRule="auto"/>
      </w:pPr>
      <w:r>
        <w:t>The sequential initialization routines, network listening hooks, and dependency bindings mapped within the project setup workspace have been organized into a technical ASCII topology flowchart below. This map outlines the unidirectional and continuous verification routines required to move the application server from a static code state into an active network-listening state:</w:t>
      </w:r>
    </w:p>
    <w:p>
      <w:pPr>
        <w:spacing w:before="120" w:after="120"/>
        <w:jc w:val="center"/>
      </w:pPr>
      <w:r>
        <w:rPr>
          <w:rFonts w:ascii="Courier New" w:hAnsi="Courier New"/>
          <w:b/>
          <w:color w:val="1B365D"/>
          <w:sz w:val="17"/>
        </w:rPr>
        <w:t>=========================================================================================</w:t>
        <w:br/>
        <w:t xml:space="preserve">                                 BACKEND SERVER SETUP ENGINE ARCHITECTURE                 </w:t>
        <w:br/>
        <w:t>=========================================================================================</w:t>
        <w:br/>
        <w:t xml:space="preserve">                                                                                         </w:t>
        <w:br/>
        <w:t xml:space="preserve">      [ LOCAL DEVELOPMENT OR PROD CONTEXT ]                                              </w:t>
        <w:br/>
        <w:t xml:space="preserve">                       |                                                                 </w:t>
        <w:br/>
        <w:t xml:space="preserve">                       v                                                                 </w:t>
        <w:br/>
        <w:t xml:space="preserve">         [ ENVIRONMENT VARIABLE PARSER ] =====( Reads Configuration Payload .env )====+  </w:t>
        <w:br/>
        <w:t xml:space="preserve">                       |                                                              |  </w:t>
        <w:br/>
        <w:t xml:space="preserve">                       v                                                              v  </w:t>
        <w:br/>
        <w:t xml:space="preserve">         [ EXPRESS CONFIGURATION LAYERS ]                                    [ MIDDLEWARE PIPELINE ]</w:t>
        <w:br/>
        <w:t xml:space="preserve">                       |                                                       (CORS / JSON Parsers)</w:t>
        <w:br/>
        <w:t xml:space="preserve">                       v                                                              |  </w:t>
        <w:br/>
        <w:t xml:space="preserve">         [ DATABASE INSTANCE CONNECTOR ]                                              v  </w:t>
        <w:br/>
        <w:t xml:space="preserve">          (Mongoose Connection Pooling Hooks)                                [ ROUTE INTERCEPTORS ] </w:t>
        <w:br/>
        <w:t xml:space="preserve">                       |                                                       (/api/auth, /api/trade)</w:t>
        <w:br/>
        <w:t xml:space="preserve">                       v                                                              |  </w:t>
        <w:br/>
        <w:t xml:space="preserve">         [ NETWORK PORT LISTENER ACTIVATION ] &lt;=======================================+  </w:t>
        <w:br/>
        <w:t xml:space="preserve">         (Localhost:5000 / Production Edge Nodes)                                        </w:t>
        <w:br/>
        <w:t xml:space="preserve">                                                                                         </w:t>
        <w:br/>
        <w:t>=========================================================================================</w:t>
        <w:br/>
        <w:t xml:space="preserve">                             FIGURE 1.1: Node.js/Express.js Server Boot Life Cycle      </w:t>
        <w:br/>
        <w:t>=========================================================================================</w:t>
      </w:r>
    </w:p>
    <w:p>
      <w:pPr>
        <w:jc w:val="center"/>
      </w:pPr>
      <w:r>
        <w:rPr>
          <w:i/>
        </w:rPr>
        <w:t>[Insert Server Setup Configuration Dashboard Screenshot - Port Allocation and Cluster Monitoring Logs]</w:t>
      </w:r>
    </w:p>
    <w:p>
      <w:r>
        <w:br w:type="page"/>
      </w:r>
    </w:p>
    <w:p>
      <w:pPr>
        <w:pStyle w:val="Heading2"/>
        <w:keepNext/>
        <w:spacing w:before="320" w:after="120"/>
      </w:pPr>
      <w:r>
        <w:rPr>
          <w:rFonts w:ascii="Arial" w:hAnsi="Arial"/>
          <w:b/>
          <w:color w:val="4A777A"/>
          <w:sz w:val="26"/>
        </w:rPr>
        <w:t>1.2 Granular Breakdown of Server Setup Modules</w:t>
      </w:r>
    </w:p>
    <w:p>
      <w:r>
        <w:t>The server engineering pipeline maps administrative parameters and networking dependencies into five distinct configuration domains:</w:t>
      </w:r>
    </w:p>
    <w:p>
      <w:pPr>
        <w:spacing w:line="360" w:lineRule="auto"/>
        <w:ind w:left="360"/>
      </w:pPr>
      <w:r>
        <w:rPr>
          <w:b/>
        </w:rPr>
        <w:t xml:space="preserve">1. Dependency Provisioning and Runtime Bootstrapping: </w:t>
      </w:r>
      <w:r>
        <w:t>Establishes the foundation for Node.js process initialization. This module coordinates the download, version caching, and runtime execution of essential backend library configurations via structural package registries, ensuring all downstream controller resources execute in a performant, stable sandbox container.</w:t>
      </w:r>
    </w:p>
    <w:p>
      <w:pPr>
        <w:spacing w:line="360" w:lineRule="auto"/>
        <w:ind w:left="360"/>
      </w:pPr>
      <w:r>
        <w:rPr>
          <w:b/>
        </w:rPr>
        <w:t xml:space="preserve">2. Configuration Scope and Environment Variable Injection: </w:t>
      </w:r>
      <w:r>
        <w:t>Handles the parsing of process parameter payloads from isolated storage files (.env). This module injects structural constants into the backend runtime environment, managing network address assignments, authorization secrets, and external database instance connectivity strings securely, keeping credentials isolated from public code access.</w:t>
      </w:r>
    </w:p>
    <w:p>
      <w:pPr>
        <w:spacing w:line="360" w:lineRule="auto"/>
        <w:ind w:left="360"/>
      </w:pPr>
      <w:r>
        <w:rPr>
          <w:b/>
        </w:rPr>
        <w:t xml:space="preserve">3. Connection Pooling and Persistent Database Hooks: </w:t>
      </w:r>
      <w:r>
        <w:t>Initiates the communication bridge between the backend app server and the cloud database containers. By configuring optimized pooling parameters, keep-alive flags, and automated re-connection loops via object-data modeling tools, this module prevents connection degradation during high-concurrency database queries.</w:t>
      </w:r>
    </w:p>
    <w:p>
      <w:pPr>
        <w:spacing w:line="360" w:lineRule="auto"/>
        <w:ind w:left="360"/>
      </w:pPr>
      <w:r>
        <w:rPr>
          <w:b/>
        </w:rPr>
        <w:t xml:space="preserve">4. Middleware Pipeline Assembly: </w:t>
      </w:r>
      <w:r>
        <w:t>Assembles intercept filtering routines to sanitize incoming network requests. It configures Cross-Origin Resource Sharing (CORS) rules, integrates native JSON body parsers, and mounts automated logging frameworks to record API traffic metrics before forwarding payloads downstream.</w:t>
      </w:r>
    </w:p>
    <w:p>
      <w:pPr>
        <w:spacing w:line="360" w:lineRule="auto"/>
        <w:ind w:left="360"/>
      </w:pPr>
      <w:r>
        <w:rPr>
          <w:b/>
        </w:rPr>
        <w:t xml:space="preserve">5. Route Interception and Port Listener Activation: </w:t>
      </w:r>
      <w:r>
        <w:t>Binds the Express server instance to an allocated network interface and port. This final step opens up the REST API routing paths to handle public client requests, enabling real-time trading calculations, security authentications, and profile history query processes.</w:t>
      </w:r>
    </w:p>
    <w:p>
      <w:pPr>
        <w:pStyle w:val="Heading2"/>
        <w:keepNext/>
        <w:spacing w:before="320" w:after="120"/>
      </w:pPr>
      <w:r>
        <w:rPr>
          <w:rFonts w:ascii="Arial" w:hAnsi="Arial"/>
          <w:b/>
          <w:color w:val="4A777A"/>
          <w:sz w:val="26"/>
        </w:rPr>
        <w:t>1.3 Technical Server Infrastructure Reference Configuration</w:t>
      </w:r>
    </w:p>
    <w:p>
      <w:pPr>
        <w:spacing w:line="360" w:lineRule="auto"/>
      </w:pPr>
      <w:r>
        <w:t>To support system setup replication and maintain consistent environment baselines across development and production servers, the core configuration variables have been detailed in the structural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Environment Parameter Variable</w:t>
            </w:r>
          </w:p>
        </w:tc>
        <w:tc>
          <w:tcPr>
            <w:tcW w:type="dxa" w:w="3120"/>
            <w:shd w:fill="1B365D"/>
          </w:tcPr>
          <w:p>
            <w:r>
              <w:rPr>
                <w:b/>
                <w:color w:val="FFFFFF"/>
              </w:rPr>
              <w:t>Data Type / Format Constraints</w:t>
            </w:r>
          </w:p>
        </w:tc>
        <w:tc>
          <w:tcPr>
            <w:tcW w:type="dxa" w:w="3120"/>
            <w:shd w:fill="1B365D"/>
          </w:tcPr>
          <w:p>
            <w:r>
              <w:rPr>
                <w:b/>
                <w:color w:val="FFFFFF"/>
              </w:rPr>
              <w:t>System Operational Impact &amp; Validation Purpose</w:t>
            </w:r>
          </w:p>
        </w:tc>
      </w:tr>
      <w:tr>
        <w:tc>
          <w:tcPr>
            <w:tcW w:type="dxa" w:w="3120"/>
            <w:tcMar>
              <w:top w:w="120" w:type="dxa"/>
              <w:bottom w:w="120" w:type="dxa"/>
              <w:left w:w="140" w:type="dxa"/>
              <w:right w:w="140" w:type="dxa"/>
            </w:tcMar>
          </w:tcPr>
          <w:p>
            <w:r>
              <w:t>PORT</w:t>
            </w:r>
          </w:p>
        </w:tc>
        <w:tc>
          <w:tcPr>
            <w:tcW w:type="dxa" w:w="3120"/>
            <w:tcMar>
              <w:top w:w="120" w:type="dxa"/>
              <w:bottom w:w="120" w:type="dxa"/>
              <w:left w:w="140" w:type="dxa"/>
              <w:right w:w="140" w:type="dxa"/>
            </w:tcMar>
          </w:tcPr>
          <w:p>
            <w:r>
              <w:t>Integer Value (e.g., 5000)</w:t>
            </w:r>
          </w:p>
        </w:tc>
        <w:tc>
          <w:tcPr>
            <w:tcW w:type="dxa" w:w="3120"/>
            <w:tcMar>
              <w:top w:w="120" w:type="dxa"/>
              <w:bottom w:w="120" w:type="dxa"/>
              <w:left w:w="140" w:type="dxa"/>
              <w:right w:w="140" w:type="dxa"/>
            </w:tcMar>
          </w:tcPr>
          <w:p>
            <w:r>
              <w:t>Specifies the network communication port where the Express application server listens for incoming HTTP requests.</w:t>
            </w:r>
          </w:p>
        </w:tc>
      </w:tr>
      <w:tr>
        <w:tc>
          <w:tcPr>
            <w:tcW w:type="dxa" w:w="3120"/>
            <w:tcMar>
              <w:top w:w="120" w:type="dxa"/>
              <w:bottom w:w="120" w:type="dxa"/>
              <w:left w:w="140" w:type="dxa"/>
              <w:right w:w="140" w:type="dxa"/>
            </w:tcMar>
            <w:shd w:fill="F5F7FA"/>
          </w:tcPr>
          <w:p>
            <w:r>
              <w:t>MONGO_URI</w:t>
            </w:r>
          </w:p>
        </w:tc>
        <w:tc>
          <w:tcPr>
            <w:tcW w:type="dxa" w:w="3120"/>
            <w:tcMar>
              <w:top w:w="120" w:type="dxa"/>
              <w:bottom w:w="120" w:type="dxa"/>
              <w:left w:w="140" w:type="dxa"/>
              <w:right w:w="140" w:type="dxa"/>
            </w:tcMar>
            <w:shd w:fill="F5F7FA"/>
          </w:tcPr>
          <w:p>
            <w:r>
              <w:t>Secure Connection String URL</w:t>
            </w:r>
          </w:p>
        </w:tc>
        <w:tc>
          <w:tcPr>
            <w:tcW w:type="dxa" w:w="3120"/>
            <w:tcMar>
              <w:top w:w="120" w:type="dxa"/>
              <w:bottom w:w="120" w:type="dxa"/>
              <w:left w:w="140" w:type="dxa"/>
              <w:right w:w="140" w:type="dxa"/>
            </w:tcMar>
            <w:shd w:fill="F5F7FA"/>
          </w:tcPr>
          <w:p>
            <w:r>
              <w:t>Contains connection tokens, host parameters, and access credentials to link the application layer to the MongoDB Atlas cluster container.</w:t>
            </w:r>
          </w:p>
        </w:tc>
      </w:tr>
      <w:tr>
        <w:tc>
          <w:tcPr>
            <w:tcW w:type="dxa" w:w="3120"/>
            <w:tcMar>
              <w:top w:w="120" w:type="dxa"/>
              <w:bottom w:w="120" w:type="dxa"/>
              <w:left w:w="140" w:type="dxa"/>
              <w:right w:w="140" w:type="dxa"/>
            </w:tcMar>
          </w:tcPr>
          <w:p>
            <w:r>
              <w:t>JWT_SECRET</w:t>
            </w:r>
          </w:p>
        </w:tc>
        <w:tc>
          <w:tcPr>
            <w:tcW w:type="dxa" w:w="3120"/>
            <w:tcMar>
              <w:top w:w="120" w:type="dxa"/>
              <w:bottom w:w="120" w:type="dxa"/>
              <w:left w:w="140" w:type="dxa"/>
              <w:right w:w="140" w:type="dxa"/>
            </w:tcMar>
          </w:tcPr>
          <w:p>
            <w:r>
              <w:t>Cryptographic Alphanumeric String</w:t>
            </w:r>
          </w:p>
        </w:tc>
        <w:tc>
          <w:tcPr>
            <w:tcW w:type="dxa" w:w="3120"/>
            <w:tcMar>
              <w:top w:w="120" w:type="dxa"/>
              <w:bottom w:w="120" w:type="dxa"/>
              <w:left w:w="140" w:type="dxa"/>
              <w:right w:w="140" w:type="dxa"/>
            </w:tcMar>
          </w:tcPr>
          <w:p>
            <w:r>
              <w:t>Acts as the private salt string to generate, sign, and verify JSON Web Tokens, protecting private user endpoints from unauthorized access.</w:t>
            </w:r>
          </w:p>
        </w:tc>
      </w:tr>
      <w:tr>
        <w:tc>
          <w:tcPr>
            <w:tcW w:type="dxa" w:w="3120"/>
            <w:tcMar>
              <w:top w:w="120" w:type="dxa"/>
              <w:bottom w:w="120" w:type="dxa"/>
              <w:left w:w="140" w:type="dxa"/>
              <w:right w:w="140" w:type="dxa"/>
            </w:tcMar>
            <w:shd w:fill="F5F7FA"/>
          </w:tcPr>
          <w:p>
            <w:r>
              <w:t>STOCK_API_KEY</w:t>
            </w:r>
          </w:p>
        </w:tc>
        <w:tc>
          <w:tcPr>
            <w:tcW w:type="dxa" w:w="3120"/>
            <w:tcMar>
              <w:top w:w="120" w:type="dxa"/>
              <w:bottom w:w="120" w:type="dxa"/>
              <w:left w:w="140" w:type="dxa"/>
              <w:right w:w="140" w:type="dxa"/>
            </w:tcMar>
            <w:shd w:fill="F5F7FA"/>
          </w:tcPr>
          <w:p>
            <w:r>
              <w:t>Unique Service Token Key</w:t>
            </w:r>
          </w:p>
        </w:tc>
        <w:tc>
          <w:tcPr>
            <w:tcW w:type="dxa" w:w="3120"/>
            <w:tcMar>
              <w:top w:w="120" w:type="dxa"/>
              <w:bottom w:w="120" w:type="dxa"/>
              <w:left w:w="140" w:type="dxa"/>
              <w:right w:w="140" w:type="dxa"/>
            </w:tcMar>
            <w:shd w:fill="F5F7FA"/>
          </w:tcPr>
          <w:p>
            <w:r>
              <w:t>Provides the access authorization token required to connect with external stock market data feeds, ensuring accurate data tracking updates.</w:t>
            </w:r>
          </w:p>
        </w:tc>
      </w:tr>
    </w:tbl>
    <w:p>
      <w:pPr>
        <w:jc w:val="center"/>
      </w:pPr>
      <w:r>
        <w:rPr>
          <w:i/>
          <w:sz w:val="20"/>
        </w:rPr>
        <w:t>Table 1.1: Backend Server Configuration and Environment Parameter Map</w:t>
      </w:r>
    </w:p>
    <w:p>
      <w:r>
        <w:br w:type="page"/>
      </w:r>
    </w:p>
    <w:p>
      <w:pPr>
        <w:pStyle w:val="Heading2"/>
        <w:keepNext/>
        <w:spacing w:before="320" w:after="120"/>
      </w:pPr>
      <w:r>
        <w:rPr>
          <w:rFonts w:ascii="Arial" w:hAnsi="Arial"/>
          <w:b/>
          <w:color w:val="4A777A"/>
          <w:sz w:val="26"/>
        </w:rPr>
        <w:t>1.4 Real-World Server Setup and Verification Life Cycle</w:t>
      </w:r>
    </w:p>
    <w:p>
      <w:pPr>
        <w:spacing w:line="360" w:lineRule="auto"/>
      </w:pPr>
      <w:r>
        <w:t>The server configuration pipeline works systematically to initialize the environment. When the execution command is triggered, the engine starts up the Node.js runtime container and loads the main file. The environment module executes immediately, looking for an encrypted local configuration file to pull sensitive properties into the system memory. If a required value—such as the database connection string or the security token key—is missing or altered, the server halts the bootstrap cycle, preventing a partial setup state.</w:t>
        <w:br/>
        <w:br/>
        <w:t>Once environment parameters are parsed successfully, the application triggers database connection routines. Mongoose sets up connection pools to coordinate multi-user queries without performance degradation. After the database handshake resolves, the app layer mounts the global middleware chain, enabling automated JSON formatting, security header filtering, and request logging. Finally, the Express engine binds to its allocated network interface, establishing an active connection gateway to handle user authentication, market data queries, and asset trades seamlessly.</w:t>
      </w:r>
    </w:p>
    <w:p>
      <w:pPr>
        <w:pStyle w:val="Heading2"/>
        <w:keepNext/>
        <w:spacing w:before="320" w:after="120"/>
      </w:pPr>
      <w:r>
        <w:rPr>
          <w:rFonts w:ascii="Arial" w:hAnsi="Arial"/>
          <w:b/>
          <w:color w:val="4A777A"/>
          <w:sz w:val="26"/>
        </w:rPr>
        <w:t>1.5 Error Handling Protocols and Operational Resilience</w:t>
      </w:r>
    </w:p>
    <w:p>
      <w:pPr>
        <w:spacing w:line="360" w:lineRule="auto"/>
      </w:pPr>
      <w:r>
        <w:t>To guarantee maximum operational uptime and maintain a resilient simulation sandbox, the server setup includes dedicated error catch loops. If a cloud database container becomes temporarily unreachable during market simulations, the database connector uses automated retry loops, attempting to re-establish connection handshakes at progressive intervals without dropping active server instances. This prevent regional network drops from crashing the system.</w:t>
        <w:br/>
        <w:br/>
        <w:t>Similarly, unhandled exceptions across individual request channels are captured by a centralized error-handling middleware. This pipeline intercepts operational failures, logs the context for administrative review, and returns clean, uniform JSON error responses to the frontend client. This ensures that a single broken data stream cannot crash the entire Node.js thread, keeping the trading simulator available, reliable, and secure for all active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