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FOUR: RESULTS AND DISCUSSION</w:t>
      </w:r>
    </w:p>
    <w:p>
      <w:pPr>
        <w:pStyle w:val="Heading1"/>
      </w:pPr>
      <w:r>
        <w:t>4.4 Regression Analysis and Model Fitting</w:t>
      </w:r>
    </w:p>
    <w:p>
      <w:pPr>
        <w:pStyle w:val="Heading2"/>
      </w:pPr>
      <w:r>
        <w:t>4.4.1 Overview of Modeling Strategy</w:t>
      </w:r>
    </w:p>
    <w:p>
      <w:r>
        <w:t>To investigate the determinants of parity (birth order) in Sri Lanka, three distinct regression frameworks were employed. This multi-model approach ensures robustness by treating parity as: (1) Ordered Categorical Data using a Proportional Odds Model; (2) Count Data using Poisson Regression; and (3) Binary Outcome using Binary Logistic Regression.</w:t>
      </w:r>
    </w:p>
    <w:p>
      <w:pPr>
        <w:pStyle w:val="Heading2"/>
      </w:pPr>
      <w:r>
        <w:t>4.4.2 Ordinal Logistic Regression (Proportional Odds Model)</w:t>
      </w:r>
    </w:p>
    <w:p>
      <w:r>
        <w:t>The Proportional Odds Model (POM) served as the primary analytical tool. The model converged successfully with a Log-Likelihood of -346,713.61 and an AIC of 693,483.22. Maternal age emerged as the strongest predictor, with mothers in the 35+ group being 92.5 times more likely to be in a higher parity category (OR = 92.52) compared to those under 20.</w:t>
      </w:r>
    </w:p>
    <w:p>
      <w:pPr>
        <w:pStyle w:val="Heading2"/>
      </w:pPr>
      <w:r>
        <w:t>4.4.3 Count Data Analysis (Poisson Regression)</w:t>
      </w:r>
    </w:p>
    <w:p>
      <w:r>
        <w:t>Treating parity as a count variable, the Poisson model provided Incident Rate Ratios (IRR). The IRR for the 35+ age group was 2.42, indicating that the expected number of births for these mothers is 2.4 times higher than for mothers under 20.</w:t>
      </w:r>
    </w:p>
    <w:p>
      <w:pPr>
        <w:pStyle w:val="Heading2"/>
      </w:pPr>
      <w:r>
        <w:t>4.4.4 Binary Logistic Regression (Parity 1 vs. Parity &gt;= 2)</w:t>
      </w:r>
    </w:p>
    <w:p>
      <w:r>
        <w:t>The binary model focused on the transition from the first birth to subsequent births. Mothers aged 35+ had an OR of 0.015, confirming that the vast majority of older mothers in the sample were multiparous.</w:t>
      </w:r>
    </w:p>
    <w:p>
      <w:pPr>
        <w:pStyle w:val="Heading2"/>
      </w:pPr>
      <w:r>
        <w:t>4.4.5 Model Comparison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Outcome Type</w:t>
            </w:r>
          </w:p>
        </w:tc>
        <w:tc>
          <w:tcPr>
            <w:tcW w:type="dxa" w:w="1728"/>
          </w:tcPr>
          <w:p>
            <w:r>
              <w:t>Effect Measure</w:t>
            </w:r>
          </w:p>
        </w:tc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Log-Likelihood</w:t>
            </w:r>
          </w:p>
        </w:tc>
      </w:tr>
      <w:tr>
        <w:tc>
          <w:tcPr>
            <w:tcW w:type="dxa" w:w="1728"/>
          </w:tcPr>
          <w:p>
            <w:r>
              <w:t>Ordinal Logistic</w:t>
            </w:r>
          </w:p>
        </w:tc>
        <w:tc>
          <w:tcPr>
            <w:tcW w:type="dxa" w:w="1728"/>
          </w:tcPr>
          <w:p>
            <w:r>
              <w:t>Ordered (1-9)</w:t>
            </w:r>
          </w:p>
        </w:tc>
        <w:tc>
          <w:tcPr>
            <w:tcW w:type="dxa" w:w="1728"/>
          </w:tcPr>
          <w:p>
            <w:r>
              <w:t>Cumulative OR</w:t>
            </w:r>
          </w:p>
        </w:tc>
        <w:tc>
          <w:tcPr>
            <w:tcW w:type="dxa" w:w="1728"/>
          </w:tcPr>
          <w:p>
            <w:r>
              <w:t>693,483.2</w:t>
            </w:r>
          </w:p>
        </w:tc>
        <w:tc>
          <w:tcPr>
            <w:tcW w:type="dxa" w:w="1728"/>
          </w:tcPr>
          <w:p>
            <w:r>
              <w:t>-346,713.6</w:t>
            </w:r>
          </w:p>
        </w:tc>
      </w:tr>
      <w:tr>
        <w:tc>
          <w:tcPr>
            <w:tcW w:type="dxa" w:w="1728"/>
          </w:tcPr>
          <w:p>
            <w:r>
              <w:t>Poisson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IRR</w:t>
            </w:r>
          </w:p>
        </w:tc>
        <w:tc>
          <w:tcPr>
            <w:tcW w:type="dxa" w:w="1728"/>
          </w:tcPr>
          <w:p>
            <w:r>
              <w:t>885,478.1</w:t>
            </w:r>
          </w:p>
        </w:tc>
        <w:tc>
          <w:tcPr>
            <w:tcW w:type="dxa" w:w="1728"/>
          </w:tcPr>
          <w:p>
            <w:r>
              <w:t>-442,718.1</w:t>
            </w:r>
          </w:p>
        </w:tc>
      </w:tr>
      <w:tr>
        <w:tc>
          <w:tcPr>
            <w:tcW w:type="dxa" w:w="1728"/>
          </w:tcPr>
          <w:p>
            <w:r>
              <w:t>Binary Logistic</w:t>
            </w:r>
          </w:p>
        </w:tc>
        <w:tc>
          <w:tcPr>
            <w:tcW w:type="dxa" w:w="1728"/>
          </w:tcPr>
          <w:p>
            <w:r>
              <w:t>Binary (1 vs &gt;=2)</w:t>
            </w:r>
          </w:p>
        </w:tc>
        <w:tc>
          <w:tcPr>
            <w:tcW w:type="dxa" w:w="1728"/>
          </w:tcPr>
          <w:p>
            <w:r>
              <w:t>Odds Ratio</w:t>
            </w:r>
          </w:p>
        </w:tc>
        <w:tc>
          <w:tcPr>
            <w:tcW w:type="dxa" w:w="1728"/>
          </w:tcPr>
          <w:p>
            <w:r>
              <w:t>367,891.3</w:t>
            </w:r>
          </w:p>
        </w:tc>
        <w:tc>
          <w:tcPr>
            <w:tcW w:type="dxa" w:w="1728"/>
          </w:tcPr>
          <w:p>
            <w:r>
              <w:t>-183,924.6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