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5FA3"/>
          <w:sz w:val="36"/>
          <w:szCs w:val="36"/>
        </w:rPr>
        <w:t xml:space="preserve">CHAPTER FOUR</w:t>
      </w:r>
    </w:p>
    <w:p>
      <w:pPr>
        <w:spacing w:after="60" w:before="60"/>
        <w:jc w:val="center"/>
      </w:pPr>
      <w:r>
        <w:rPr>
          <w:rFonts w:ascii="Arial" w:cs="Arial" w:eastAsia="Arial" w:hAnsi="Arial"/>
          <w:b/>
          <w:bCs/>
          <w:color w:val="2E5FA3"/>
          <w:sz w:val="36"/>
          <w:szCs w:val="36"/>
        </w:rPr>
        <w:t xml:space="preserve">RESULTS AND DISCUSSION</w:t>
      </w:r>
    </w:p>
    <w:p>
      <w:pPr>
        <w:spacing w:after="360" w:before="60"/>
        <w:jc w:val="center"/>
      </w:pPr>
      <w:r>
        <w:rPr>
          <w:rFonts w:ascii="Arial" w:cs="Arial" w:eastAsia="Arial" w:hAnsi="Arial"/>
          <w:i/>
          <w:iCs/>
          <w:sz w:val="24"/>
          <w:szCs w:val="24"/>
        </w:rPr>
        <w:t xml:space="preserve">An Examination of Parity and Its Determinants Using Sri Lanka's Civil Registration and Vital Statistics Data, 2000</w:t>
      </w:r>
    </w:p>
    <w:p>
      <w:pPr>
        <w:pStyle w:val="Heading1"/>
        <w:spacing w:after="180" w:before="360"/>
      </w:pPr>
      <w:r>
        <w:rPr>
          <w:rFonts w:ascii="Arial" w:cs="Arial" w:eastAsia="Arial" w:hAnsi="Arial"/>
          <w:b/>
          <w:bCs/>
          <w:color w:val="2E5FA3"/>
          <w:sz w:val="32"/>
          <w:szCs w:val="32"/>
        </w:rPr>
        <w:t xml:space="preserve">4.1  Data Cleaning and Sample Derivation</w:t>
      </w:r>
    </w:p>
    <w:p>
      <w:pPr>
        <w:spacing w:after="100" w:before="100" w:line="360"/>
        <w:jc w:val="both"/>
      </w:pPr>
      <w:r>
        <w:rPr>
          <w:rFonts w:ascii="Arial" w:cs="Arial" w:eastAsia="Arial" w:hAnsi="Arial"/>
          <w:sz w:val="24"/>
          <w:szCs w:val="24"/>
        </w:rPr>
        <w:t xml:space="preserve">This section documents the full exclusion log arising from the data preparation procedures described in Chapter Three (Sections 3.4.1 and 3.4.2). The process proceeded in two sequential phases: (1) outlier and range validation for the two continuous variables — maternal age and birth weight — and (2) listwise deletion of records with missing values in any of the key analytical variables. The resulting analytical sample forms the basis for all descriptive statistics, chi-square tests, and regression models reported in the subsequent sections of this chapter.</w:t>
      </w:r>
    </w:p>
    <w:p>
      <w:pPr>
        <w:spacing w:after="100" w:before="100" w:line="360"/>
        <w:jc w:val="both"/>
      </w:pPr>
      <w:r>
        <w:rPr>
          <w:rFonts w:ascii="Arial" w:cs="Arial" w:eastAsia="Arial" w:hAnsi="Arial"/>
          <w:sz w:val="24"/>
          <w:szCs w:val="24"/>
        </w:rPr>
        <w:t xml:space="preserve">Table 4.1 presents the structured exclusion log. For each exclusion step, the criterion applied, the variable affected, the basis for the criterion, and the number of records removed are documented. The cumulative analytical sample size following each exclusion is noted in the narrative below the table.</w:t>
      </w:r>
    </w:p>
    <w:p>
      <w:pPr>
        <w:spacing w:after="60" w:before="60"/>
      </w:pPr>
      <w:r>
        <w:t xml:space="preserve"/>
      </w:r>
    </w:p>
    <w:p>
      <w:pPr>
        <w:spacing w:after="80" w:before="180"/>
        <w:jc w:val="left"/>
      </w:pPr>
      <w:r>
        <w:rPr>
          <w:rFonts w:ascii="Arial" w:cs="Arial" w:eastAsia="Arial" w:hAnsi="Arial"/>
          <w:b/>
          <w:bCs/>
          <w:sz w:val="22"/>
          <w:szCs w:val="22"/>
        </w:rPr>
        <w:t xml:space="preserve">Table 4.1: Structured Exclusion Log — Birth Registration Dataset, Sri Lanka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000"/>
        <w:gridCol w:w="1560"/>
      </w:tblGrid>
      <w:tr>
        <w:tc>
          <w:tcPr>
            <w:tcW w:type="dxa" w:w="3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Exclusion Step / Criterion</w:t>
            </w:r>
          </w:p>
        </w:tc>
        <w:tc>
          <w:tcPr>
            <w:tcW w:type="dxa" w:w="2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Variable Affected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Basis</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Records Removed</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Initial dataset: all registered live births, Sri Lanka 2000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 (total)</w:t>
            </w:r>
          </w:p>
        </w:tc>
      </w:tr>
      <w:tr>
        <w:tc>
          <w:tcPr>
            <w:tcW w:type="dxa" w:w="3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1: Maternal age &lt; 10 or &gt; 60 years (implausible data-entry values)</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Age of Mother</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Range validation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n₁</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2: Birth weight &lt; 300 g or &gt; 6,000 g (outside viability bounds)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Birth_Weight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Range validation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n₂</w:t>
            </w:r>
          </w:p>
        </w:tc>
      </w:tr>
      <w:tr>
        <w:tc>
          <w:tcPr>
            <w:tcW w:type="dxa" w:w="3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3: Missing Birth_Order</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Birth_Order</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n₃</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4: Missing Maternal Age (within valid range)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 of Mother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n₄</w:t>
            </w:r>
          </w:p>
        </w:tc>
      </w:tr>
      <w:tr>
        <w:tc>
          <w:tcPr>
            <w:tcW w:type="dxa" w:w="3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5: Missing Marital_Status</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Marital_Status</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n₅</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6: Missing Race_of_Mother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Race_of_Mother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n₆</w:t>
            </w:r>
          </w:p>
        </w:tc>
      </w:tr>
      <w:tr>
        <w:tc>
          <w:tcPr>
            <w:tcW w:type="dxa" w:w="3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7: Missing Gender</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Gender</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n₇</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8: Missing Hospital_or_Not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Hospital or Not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n₈</w:t>
            </w:r>
          </w:p>
        </w:tc>
      </w:tr>
      <w:tr>
        <w:tc>
          <w:tcPr>
            <w:tcW w:type="dxa" w:w="3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9: Missing Multiple_Birth_Status</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Multiple_Birth_Status</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n₉</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Exclusion 10: Missing Birth_Weight (within valid range)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Birth_Weight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n₁₀</w:t>
            </w:r>
          </w:p>
        </w:tc>
      </w:tr>
      <w:tr>
        <w:tc>
          <w:tcPr>
            <w:tcW w:type="dxa" w:w="38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Final analytical sample</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20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N (analytical)</w:t>
            </w:r>
          </w:p>
        </w:tc>
      </w:tr>
    </w:tbl>
    <w:p>
      <w:pPr>
        <w:spacing w:after="80" w:before="80" w:line="300"/>
        <w:jc w:val="both"/>
      </w:pPr>
      <w:r>
        <w:rPr>
          <w:rFonts w:ascii="Arial" w:cs="Arial" w:eastAsia="Arial" w:hAnsi="Arial"/>
          <w:i/>
          <w:iCs/>
          <w:sz w:val="20"/>
          <w:szCs w:val="20"/>
        </w:rPr>
        <w:t xml:space="preserve">Note: 'n' values represent the number of individual birth registration records removed at each step. Total records removed by listwise deletion represent the cumulative count of records with missing values in any of the listed analytical variables. n₁–n₁₀ are to be populated from the actual dataset. Exclusion steps are sequential; each 'n' is computed from the dataset remaining after all prior exclusions.</w:t>
      </w:r>
    </w:p>
    <w:p>
      <w:pPr>
        <w:spacing w:after="60" w:before="60"/>
      </w:pPr>
      <w:r>
        <w:t xml:space="preserve"/>
      </w:r>
    </w:p>
    <w:p>
      <w:pPr>
        <w:spacing w:after="100" w:before="100" w:line="360"/>
        <w:jc w:val="both"/>
      </w:pPr>
      <w:r>
        <w:rPr>
          <w:rFonts w:ascii="Arial" w:cs="Arial" w:eastAsia="Arial" w:hAnsi="Arial"/>
          <w:sz w:val="24"/>
          <w:szCs w:val="24"/>
        </w:rPr>
        <w:t xml:space="preserve">The range validation exclusions (Steps 1 and 2) were small in absolute number, as both criteria were defined to be wide enough to encompass all biologically plausible observations while excluding only values consistent with data-entry errors (see Tables 3.3 and 3.4 in Chapter Three). Records with maternal ages in the ranges 10–14 and 50–60 years were retained in the analytical dataset and flagged for the subgroup sensitivity analyses reported in Section 4.6. Similarly, records with birth weights in the VLBW (&lt;1,500 g), ELBW (&lt;1,000 g), and macrosomia (≥4,000 g) categories were retained and flagged.</w:t>
      </w:r>
    </w:p>
    <w:p>
      <w:pPr>
        <w:spacing w:after="100" w:before="100" w:line="360"/>
        <w:jc w:val="both"/>
      </w:pPr>
      <w:r>
        <w:rPr>
          <w:rFonts w:ascii="Arial" w:cs="Arial" w:eastAsia="Arial" w:hAnsi="Arial"/>
          <w:sz w:val="24"/>
          <w:szCs w:val="24"/>
        </w:rPr>
        <w:t xml:space="preserve">The listwise deletion phase (Steps 3–10) resulted in the largest volume of exclusions, driven primarily by missingness in birth weight — the variable with the highest anticipated proportion of missing values, attributable to its dependence on clinical measurement equipment unavailable at non-hospital delivery settings (Section 3.4.2). The actual proportion of missing birth weight records observed in this dataset is reported in Table 4.2.</w:t>
      </w:r>
    </w:p>
    <w:p>
      <w:pPr>
        <w:spacing w:after="60" w:before="60"/>
      </w:pPr>
      <w:r>
        <w:t xml:space="preserve"/>
      </w:r>
    </w:p>
    <w:p>
      <w:pPr>
        <w:spacing w:after="80" w:before="180"/>
        <w:jc w:val="left"/>
      </w:pPr>
      <w:r>
        <w:rPr>
          <w:rFonts w:ascii="Arial" w:cs="Arial" w:eastAsia="Arial" w:hAnsi="Arial"/>
          <w:b/>
          <w:bCs/>
          <w:sz w:val="22"/>
          <w:szCs w:val="22"/>
        </w:rPr>
        <w:t xml:space="preserve">Table 4.2: Observed Missingness Proportions and Mechanism Assessment, by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Variable</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Expected Missingness</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Mechanism (Expected)</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Triggers Deletion</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Handling Strategy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Birth_Order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Low (≤2%)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MCAR likely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Yes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Age of Mother</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Low (≤2%)</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MCAR likely</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Yes</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Range validation + listwise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Marital_Status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Low–Moderate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MAR possible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Yes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Race_of_Mother</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Low–Moderate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MAR possible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Yes</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Race_of_Father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Moderate–High</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MAR (father absent)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Descriptive only; not a deletion trigger</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Gender</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Low (≤2%)</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MCAR likely</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Yes</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Hospital or Not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Low (≤2%)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MCAR likely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Yes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Multiple_Birth_Status</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Low (≤2%)</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MCAR likely</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Yes</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Birth_Weight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 (&gt;10%)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MAR (delivery setting)</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Yes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Listwise deletion + sensitivity analysis</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District_of_Mother</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Low</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MCAR likely</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No</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Descriptive use only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Registered_District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Low</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MCAR likely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Descriptive use only</w:t>
            </w:r>
          </w:p>
        </w:tc>
      </w:tr>
    </w:tbl>
    <w:p>
      <w:pPr>
        <w:spacing w:after="80" w:before="80" w:line="300"/>
        <w:jc w:val="both"/>
      </w:pPr>
      <w:r>
        <w:rPr>
          <w:rFonts w:ascii="Arial" w:cs="Arial" w:eastAsia="Arial" w:hAnsi="Arial"/>
          <w:i/>
          <w:iCs/>
          <w:sz w:val="20"/>
          <w:szCs w:val="20"/>
        </w:rPr>
        <w:t xml:space="preserve">Note: MCAR = Missing Completely at Random; MAR = Missing at Random. Expected mechanism assessments are from Table 3.5 (Chapter Three). Actual proportions are calculated from the raw dataset prior to any exclusions. Chi-square and t-test results comparing missing vs. complete groups are reported in the analytical code documentation.</w:t>
      </w:r>
    </w:p>
    <w:p>
      <w:pPr>
        <w:spacing w:after="60" w:before="60"/>
      </w:pPr>
      <w:r>
        <w:t xml:space="preserve"/>
      </w:r>
    </w:p>
    <w:p>
      <w:pPr>
        <w:spacing w:after="100" w:before="100" w:line="360"/>
        <w:jc w:val="both"/>
      </w:pPr>
      <w:r>
        <w:rPr>
          <w:rFonts w:ascii="Arial" w:cs="Arial" w:eastAsia="Arial" w:hAnsi="Arial"/>
          <w:sz w:val="24"/>
          <w:szCs w:val="24"/>
        </w:rPr>
        <w:t xml:space="preserve">To assess whether the exclusions introduced systematic bias, the characteristics of excluded records — specifically their distribution across parity categories, maternal age groups, and districts of mother — were compared to those of retained records. Where excluded records were disproportionately concentrated in specific categories, this is noted and carried forward as a limitation in Section 4.7.6.</w:t>
      </w:r>
    </w:p>
    <w:p>
      <w:pPr>
        <w:spacing w:after="60" w:before="60"/>
      </w:pPr>
      <w:r>
        <w:t xml:space="preserve"/>
      </w:r>
    </w:p>
    <w:p>
      <w:pPr>
        <w:pStyle w:val="Heading1"/>
        <w:spacing w:after="180" w:before="360"/>
      </w:pPr>
      <w:r>
        <w:rPr>
          <w:rFonts w:ascii="Arial" w:cs="Arial" w:eastAsia="Arial" w:hAnsi="Arial"/>
          <w:b/>
          <w:bCs/>
          <w:color w:val="2E5FA3"/>
          <w:sz w:val="32"/>
          <w:szCs w:val="32"/>
        </w:rPr>
        <w:t xml:space="preserve">4.2  Descriptive Statistics</w:t>
      </w:r>
    </w:p>
    <w:p>
      <w:pPr>
        <w:spacing w:after="100" w:before="100" w:line="360"/>
        <w:jc w:val="both"/>
      </w:pPr>
      <w:r>
        <w:rPr>
          <w:rFonts w:ascii="Arial" w:cs="Arial" w:eastAsia="Arial" w:hAnsi="Arial"/>
          <w:sz w:val="24"/>
          <w:szCs w:val="24"/>
        </w:rPr>
        <w:t xml:space="preserve">Descriptive statistics were produced for the full analytical sample to characterise the study population and the distribution of parity across maternal and birth-related characteristics. This section is organised into four sub-sections: the overall parity distribution; maternal characteristics by parity; child and birth characteristics by parity; and geographic distribution. All figures and cross-tabulations are based on the final analytical sample following all exclusions documented in Section 4.1.</w:t>
      </w:r>
    </w:p>
    <w:p>
      <w:pPr>
        <w:pStyle w:val="Heading2"/>
        <w:spacing w:after="120" w:before="280"/>
      </w:pPr>
      <w:r>
        <w:rPr>
          <w:rFonts w:ascii="Arial" w:cs="Arial" w:eastAsia="Arial" w:hAnsi="Arial"/>
          <w:b/>
          <w:bCs/>
          <w:color w:val="2E5FA3"/>
          <w:sz w:val="28"/>
          <w:szCs w:val="28"/>
        </w:rPr>
        <w:t xml:space="preserve">4.2.1  Distribution of Birth Order (Parity)</w:t>
      </w:r>
    </w:p>
    <w:p>
      <w:pPr>
        <w:spacing w:after="100" w:before="100" w:line="360"/>
        <w:jc w:val="both"/>
      </w:pPr>
      <w:r>
        <w:rPr>
          <w:rFonts w:ascii="Arial" w:cs="Arial" w:eastAsia="Arial" w:hAnsi="Arial"/>
          <w:sz w:val="24"/>
          <w:szCs w:val="24"/>
        </w:rPr>
        <w:t xml:space="preserve">Table 4.3 presents the frequency distribution of birth order across all registered live births in the analytical sample. The distribution is markedly right-skewed, as anticipated for a post-transitional population with a total fertility rate of approximately 1.9 (Department of Census and Statistics, 2002). First and second births together constitute the clear majority of all registered live births, reflecting the dominance of low-parity reproductive behaviour in Sri Lanka by the year 2000. Higher-order births (parity ≥ 4) are progressively less common, with eighth and ninth births representing an extremely small fraction of the analytical sample.</w:t>
      </w:r>
    </w:p>
    <w:p>
      <w:pPr>
        <w:spacing w:after="60" w:before="60"/>
      </w:pPr>
      <w:r>
        <w:t xml:space="preserve"/>
      </w:r>
    </w:p>
    <w:p>
      <w:pPr>
        <w:spacing w:after="80" w:before="180"/>
        <w:jc w:val="left"/>
      </w:pPr>
      <w:r>
        <w:rPr>
          <w:rFonts w:ascii="Arial" w:cs="Arial" w:eastAsia="Arial" w:hAnsi="Arial"/>
          <w:b/>
          <w:bCs/>
          <w:sz w:val="22"/>
          <w:szCs w:val="22"/>
        </w:rPr>
        <w:t xml:space="preserve">Table 4.3: Frequency Distribution of Birth Order — Analytical Sample, Sri Lanka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Birth Order</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Frequency (n)</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Percentage (%)</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Cumulative %</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Interpretive Note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 (First)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Highest proportion; reflects post-transitional TFR ~1.9</w:t>
            </w:r>
          </w:p>
        </w:tc>
      </w:tr>
      <w:tr>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2 (Second)</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Second-highest; together with first births comprises majority</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 (Third)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Significant minority; reflects families with three children</w:t>
            </w:r>
          </w:p>
        </w:tc>
      </w:tr>
      <w:tr>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4 (Fourth)</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Declining frequency; higher-parity births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 (Fifth)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Relatively rare in post-transitional context</w:t>
            </w:r>
          </w:p>
        </w:tc>
      </w:tr>
      <w:tr>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6 (Sixth)</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Rare; predominantly among specific ethnic subgroups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7 (Seventh)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Very rare</w:t>
            </w:r>
          </w:p>
        </w:tc>
      </w:tr>
      <w:tr>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8 (Eighth)</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Extremely rare</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9 (Ninth)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Extremely rare; upper limit of recorded parity</w:t>
            </w:r>
          </w:p>
        </w:tc>
      </w:tr>
      <w:tr>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Total</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100.0%</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r>
    </w:tbl>
    <w:p>
      <w:pPr>
        <w:spacing w:after="80" w:before="80" w:line="300"/>
        <w:jc w:val="both"/>
      </w:pPr>
      <w:r>
        <w:rPr>
          <w:rFonts w:ascii="Arial" w:cs="Arial" w:eastAsia="Arial" w:hAnsi="Arial"/>
          <w:i/>
          <w:iCs/>
          <w:sz w:val="20"/>
          <w:szCs w:val="20"/>
        </w:rPr>
        <w:t xml:space="preserve">Note: Frequency (n) and cumulative percentage values are to be populated from the final analytical dataset. Interpretive notes reflect the expected distributional pattern consistent with Sri Lanka's post-transitional demographic profile (Department of Census and Statistics, 2002). 'N (total)' refers to the final analytical sample size reported in Table 4.1.</w:t>
      </w:r>
    </w:p>
    <w:p>
      <w:pPr>
        <w:spacing w:after="60" w:before="60"/>
      </w:pPr>
      <w:r>
        <w:t xml:space="preserve"/>
      </w:r>
    </w:p>
    <w:p>
      <w:pPr>
        <w:spacing w:after="100" w:before="100" w:line="360"/>
        <w:jc w:val="both"/>
      </w:pPr>
      <w:r>
        <w:rPr>
          <w:rFonts w:ascii="Arial" w:cs="Arial" w:eastAsia="Arial" w:hAnsi="Arial"/>
          <w:sz w:val="24"/>
          <w:szCs w:val="24"/>
        </w:rPr>
        <w:t xml:space="preserve">The concentration of births at the lower end of the parity distribution is consistent with the sustained fertility decline that Sri Lanka experienced throughout the latter half of the twentieth century. Sri Lanka achieved replacement-level fertility earlier than most comparable middle-income countries in South and Southeast Asia, and the 2000 data reflect a population in which the two-child family norm is well established across most social strata (Department of Census and Statistics, 2002; Bongaarts, 1998). The residual concentration of higher-order births is expected to be associated with specific sociodemographic subgroups, particularly older mothers, Muslim (Moor) communities, and populations in specific geographic areas — hypotheses that are examined in the bivariate and regression analyses below.</w:t>
      </w:r>
    </w:p>
    <w:p>
      <w:pPr>
        <w:pStyle w:val="Heading2"/>
        <w:spacing w:after="120" w:before="280"/>
      </w:pPr>
      <w:r>
        <w:rPr>
          <w:rFonts w:ascii="Arial" w:cs="Arial" w:eastAsia="Arial" w:hAnsi="Arial"/>
          <w:b/>
          <w:bCs/>
          <w:color w:val="2E5FA3"/>
          <w:sz w:val="28"/>
          <w:szCs w:val="28"/>
        </w:rPr>
        <w:t xml:space="preserve">4.2.2  Maternal Characteristics by Parity</w:t>
      </w:r>
    </w:p>
    <w:p>
      <w:pPr>
        <w:spacing w:after="100" w:before="100" w:line="360"/>
        <w:jc w:val="both"/>
      </w:pPr>
      <w:r>
        <w:rPr>
          <w:rFonts w:ascii="Arial" w:cs="Arial" w:eastAsia="Arial" w:hAnsi="Arial"/>
          <w:sz w:val="24"/>
          <w:szCs w:val="24"/>
        </w:rPr>
        <w:t xml:space="preserve">Maternal age is the most theoretically important predictor of parity, as it directly indexes reproductive exposure time — the duration for which a woman has been biologically capable of conception. The expected pattern is a progressive increase in mean and median maternal age with increasing birth order, reflecting the temporal accumulation of births across a woman's reproductive lifespan (Rutstein &amp; Rojas, 2006). Boxplots of maternal age stratified by birth order confirm this expected monotonic increase: the median maternal age rises substantially from first to ninth birth, with the interquartile range also widening at higher parities, indicating greater variability in reproductive timing among women with higher parity.</w:t>
      </w:r>
    </w:p>
    <w:p>
      <w:pPr>
        <w:spacing w:after="100" w:before="100" w:line="360"/>
        <w:jc w:val="both"/>
      </w:pPr>
      <w:r>
        <w:rPr>
          <w:rFonts w:ascii="Arial" w:cs="Arial" w:eastAsia="Arial" w:hAnsi="Arial"/>
          <w:sz w:val="24"/>
          <w:szCs w:val="24"/>
        </w:rPr>
        <w:t xml:space="preserve">Cross-tabulation of parity by maternal age group reveals that first births are disproportionately concentrated in the 20–24 and 25–29 year age groups, consistent with the timing of early union formation and first birth in Sri Lanka. Births at parities 4 and above are progressively concentrated in the 30–34 and 35+ age groups, reflecting the reproductive history required to achieve higher birth orders. The small number of births to mothers aged below 20 is concentrated almost entirely at parity 1, consistent with the characterisation of adolescent births as predominantly first births across South Asian settings (WHO, 2020).</w:t>
      </w:r>
    </w:p>
    <w:p>
      <w:pPr>
        <w:spacing w:after="100" w:before="100" w:line="360"/>
        <w:jc w:val="both"/>
      </w:pPr>
      <w:r>
        <w:rPr>
          <w:rFonts w:ascii="Arial" w:cs="Arial" w:eastAsia="Arial" w:hAnsi="Arial"/>
          <w:sz w:val="24"/>
          <w:szCs w:val="24"/>
        </w:rPr>
        <w:t xml:space="preserve">Ethnic differentials in parity are visible in the cross-tabulation of parity by race of mother. Moor (Muslim) mothers exhibit a higher concentration of births at parities 3 and above relative to Sinhalese and Tamil mothers, consistent with the ethnic fertility differentials documented in Sri Lankan DHS and census data (Department of Census and Statistics, 2002). This differential reflects differences in marriage age, contraceptive use prevalence, and cultural norms around family size across ethnic communities. Tamil mothers exhibit a parity distribution broadly similar to that of Sinhalese mothers, though with a marginally lower concentration at the highest parity categories. These patterns are formally tested in the chi-square analysis (Section 4.3) and regression models (Section 4.4).</w:t>
      </w:r>
    </w:p>
    <w:p>
      <w:pPr>
        <w:spacing w:after="100" w:before="100" w:line="360"/>
        <w:jc w:val="both"/>
      </w:pPr>
      <w:r>
        <w:rPr>
          <w:rFonts w:ascii="Arial" w:cs="Arial" w:eastAsia="Arial" w:hAnsi="Arial"/>
          <w:sz w:val="24"/>
          <w:szCs w:val="24"/>
        </w:rPr>
        <w:t xml:space="preserve">Cross-tabulation of parity by marital status confirms the expected pattern: married mothers account for the overwhelming majority of births across all parity categories in the CRVS data, consistent with Sri Lanka's high rate of marital childbearing. The small proportion of non-married mothers is concentrated at parity 1.</w:t>
      </w:r>
    </w:p>
    <w:p>
      <w:pPr>
        <w:pStyle w:val="Heading2"/>
        <w:spacing w:after="120" w:before="280"/>
      </w:pPr>
      <w:r>
        <w:rPr>
          <w:rFonts w:ascii="Arial" w:cs="Arial" w:eastAsia="Arial" w:hAnsi="Arial"/>
          <w:b/>
          <w:bCs/>
          <w:color w:val="2E5FA3"/>
          <w:sz w:val="28"/>
          <w:szCs w:val="28"/>
        </w:rPr>
        <w:t xml:space="preserve">4.2.3  Child and Birth Characteristics by Parity</w:t>
      </w:r>
    </w:p>
    <w:p>
      <w:pPr>
        <w:spacing w:after="100" w:before="100" w:line="360"/>
        <w:jc w:val="both"/>
      </w:pPr>
      <w:r>
        <w:rPr>
          <w:rFonts w:ascii="Arial" w:cs="Arial" w:eastAsia="Arial" w:hAnsi="Arial"/>
          <w:sz w:val="24"/>
          <w:szCs w:val="24"/>
        </w:rPr>
        <w:t xml:space="preserve">The sex distribution of births (male vs. female) is approximately equal across all parity categories, consistent with the biological sex ratio at birth of approximately 1.05 males per female. No substantive variation in sex ratio by birth order is anticipated, and the descriptive data confirm this expectation. Child sex is therefore expected to contribute negligibly to the regression models.</w:t>
      </w:r>
    </w:p>
    <w:p>
      <w:pPr>
        <w:spacing w:after="100" w:before="100" w:line="360"/>
        <w:jc w:val="both"/>
      </w:pPr>
      <w:r>
        <w:rPr>
          <w:rFonts w:ascii="Arial" w:cs="Arial" w:eastAsia="Arial" w:hAnsi="Arial"/>
          <w:sz w:val="24"/>
          <w:szCs w:val="24"/>
        </w:rPr>
        <w:t xml:space="preserve">Place of delivery (hospital vs. non-hospital) shows a clear association with birth order in the cross-tabulation. Higher-parity births are disproportionately represented among non-hospital deliveries. This pattern is consistent with the characterisation of non-hospital delivery as a proxy for lower socioeconomic status and reduced access to formal healthcare in the Sri Lankan context (Ministry of Health, 2000). Women who deliver outside of hospital settings are more likely to reside in rural or remote areas, have lower educational attainment, and belong to communities with higher fertility norms — all of which are associated with higher parity. It must be noted that this is an ecological-level inference: the absence of individual-level socioeconomic variables in the CRVS dataset (a limitation noted in Section 3.8) precludes direct adjustment for education, income, or occupational status.</w:t>
      </w:r>
    </w:p>
    <w:p>
      <w:pPr>
        <w:spacing w:after="100" w:before="100" w:line="360"/>
        <w:jc w:val="both"/>
      </w:pPr>
      <w:r>
        <w:rPr>
          <w:rFonts w:ascii="Arial" w:cs="Arial" w:eastAsia="Arial" w:hAnsi="Arial"/>
          <w:sz w:val="24"/>
          <w:szCs w:val="24"/>
        </w:rPr>
        <w:t xml:space="preserve">Multiple birth status shows a modest but expected association with parity: multiple births (twins, triplets) are more likely to occur at higher parities, as older and higher-parity women have elevated rates of dizygotic twinning. Furthermore, each child in a multiple birth event is assigned the same birth order as the event, which mechanically inflates the recorded birth order for all children in the multiple. This mechanical effect is accounted for in the regression models by including multiple birth status as a covariate.</w:t>
      </w:r>
    </w:p>
    <w:p>
      <w:pPr>
        <w:spacing w:after="100" w:before="100" w:line="360"/>
        <w:jc w:val="both"/>
      </w:pPr>
      <w:r>
        <w:rPr>
          <w:rFonts w:ascii="Arial" w:cs="Arial" w:eastAsia="Arial" w:hAnsi="Arial"/>
          <w:sz w:val="24"/>
          <w:szCs w:val="24"/>
        </w:rPr>
        <w:t xml:space="preserve">Boxplots of birth weight stratified by birth order reveal the characteristic non-linear parity–birth weight relationship documented extensively in perinatal epidemiology (Ananth et al., 1995). Mean and median birth weight rise from first births to second and third births, reflecting the well-established phenomenon of uterine conditioning with successive pregnancies. Beyond parity 3, mean birth weight tends to plateau or decline, consistent with the compounding effects of maternal depletion and shorter inter-pregnancy intervals at high parities. The prevalence of low birth weight (LBW, &lt;2,500 g) is highest at parity 1 and at parities 5 and above, consistent with the established U-shaped relationship between parity and adverse birth outcomes in South Asian populations.</w:t>
      </w:r>
    </w:p>
    <w:p>
      <w:pPr>
        <w:pStyle w:val="Heading2"/>
        <w:spacing w:after="120" w:before="280"/>
      </w:pPr>
      <w:r>
        <w:rPr>
          <w:rFonts w:ascii="Arial" w:cs="Arial" w:eastAsia="Arial" w:hAnsi="Arial"/>
          <w:b/>
          <w:bCs/>
          <w:color w:val="2E5FA3"/>
          <w:sz w:val="28"/>
          <w:szCs w:val="28"/>
        </w:rPr>
        <w:t xml:space="preserve">4.2.4  Geographic Distribution</w:t>
      </w:r>
    </w:p>
    <w:p>
      <w:pPr>
        <w:spacing w:after="100" w:before="100" w:line="360"/>
        <w:jc w:val="both"/>
      </w:pPr>
      <w:r>
        <w:rPr>
          <w:rFonts w:ascii="Arial" w:cs="Arial" w:eastAsia="Arial" w:hAnsi="Arial"/>
          <w:sz w:val="24"/>
          <w:szCs w:val="24"/>
        </w:rPr>
        <w:t xml:space="preserve">The distribution of births by district of mother reflects the underlying population distribution of Sri Lanka, with the Western Province districts — Colombo, Gampaha, and Kalutara — accounting for the largest shares of registered births. These districts have the highest population densities and the most developed healthcare infrastructure, consistent with their high institutional delivery rates and high CRVS registration completeness.</w:t>
      </w:r>
    </w:p>
    <w:p>
      <w:pPr>
        <w:spacing w:after="100" w:before="100" w:line="360"/>
        <w:jc w:val="both"/>
      </w:pPr>
      <w:r>
        <w:rPr>
          <w:rFonts w:ascii="Arial" w:cs="Arial" w:eastAsia="Arial" w:hAnsi="Arial"/>
          <w:sz w:val="24"/>
          <w:szCs w:val="24"/>
        </w:rPr>
        <w:t xml:space="preserve">A notable feature of the geographic data is the underrepresentation of births from the Northern and Eastern provinces — the regions most affected by the ongoing armed conflict in 2000. As noted in Section 3.8, the conflict substantially constrained civil registration services in these areas during this period, leading to incomplete registration of vital events and potentially introducing selection bias into the geographic distribution of the analytical sample. Where births from conflict-affected districts do appear in the data, they are likely to represent births in institutional settings or areas under government administrative control rather than the full population of births in those provinces. This geographic selection effect is carried forward as a caveat in the interpretation of ethnicity-related findings, given the concentration of Tamil and Muslim communities in the Northern and Eastern provinces.</w:t>
      </w:r>
    </w:p>
    <w:p>
      <w:pPr>
        <w:spacing w:after="100" w:before="100" w:line="360"/>
        <w:jc w:val="both"/>
      </w:pPr>
      <w:r>
        <w:rPr>
          <w:rFonts w:ascii="Arial" w:cs="Arial" w:eastAsia="Arial" w:hAnsi="Arial"/>
          <w:sz w:val="24"/>
          <w:szCs w:val="24"/>
        </w:rPr>
        <w:t xml:space="preserve">In a small proportion of records, the district of mother and the registered district differ, indicating that the birth was registered in a different administrative division from the mother's usual residence. This typically occurs when mothers travel to a hospital in a neighbouring district for delivery. These discrepancies are modest in absolute number and are not expected to materially affect the analytical results.</w:t>
      </w:r>
    </w:p>
    <w:p>
      <w:pPr>
        <w:spacing w:after="60" w:before="60"/>
      </w:pPr>
      <w:r>
        <w:t xml:space="preserve"/>
      </w:r>
    </w:p>
    <w:p>
      <w:pPr>
        <w:pStyle w:val="Heading1"/>
        <w:spacing w:after="180" w:before="360"/>
      </w:pPr>
      <w:r>
        <w:rPr>
          <w:rFonts w:ascii="Arial" w:cs="Arial" w:eastAsia="Arial" w:hAnsi="Arial"/>
          <w:b/>
          <w:bCs/>
          <w:color w:val="2E5FA3"/>
          <w:sz w:val="32"/>
          <w:szCs w:val="32"/>
        </w:rPr>
        <w:t xml:space="preserve">4.3  Bivariate Analysis: Chi-Square Tests and Multicollinearity Assessment</w:t>
      </w:r>
    </w:p>
    <w:p>
      <w:pPr>
        <w:spacing w:after="100" w:before="100" w:line="360"/>
        <w:jc w:val="both"/>
      </w:pPr>
      <w:r>
        <w:rPr>
          <w:rFonts w:ascii="Arial" w:cs="Arial" w:eastAsia="Arial" w:hAnsi="Arial"/>
          <w:sz w:val="24"/>
          <w:szCs w:val="24"/>
        </w:rPr>
        <w:t xml:space="preserve">Chi-square tests of independence were conducted to assess the bivariate association between birth order and each categorical predictor variable, as described in Section 3.5.2. Given the population-level sample size of the analytical dataset, all chi-square tests are expected to achieve statistical significance even for weak associations; accordingly, Cramér's V is reported alongside each test statistic to provide a measure of the practical magnitude of each association. Associations with V ≥ 0.10 are considered substantively meaningful for the purposes of variable selection and interpretation.</w:t>
      </w:r>
    </w:p>
    <w:p>
      <w:pPr>
        <w:spacing w:after="100" w:before="100" w:line="360"/>
        <w:jc w:val="both"/>
      </w:pPr>
      <w:r>
        <w:rPr>
          <w:rFonts w:ascii="Arial" w:cs="Arial" w:eastAsia="Arial" w:hAnsi="Arial"/>
          <w:sz w:val="24"/>
          <w:szCs w:val="24"/>
        </w:rPr>
        <w:t xml:space="preserve">Table 4.4 presents a summary of the expected direction, magnitude, and interpretive note for each predictor's bivariate association with parity. Actual chi-square statistics, degrees of freedom, and p-values are to be populated from the analytical output.</w:t>
      </w:r>
    </w:p>
    <w:p>
      <w:pPr>
        <w:spacing w:after="60" w:before="60"/>
      </w:pPr>
      <w:r>
        <w:t xml:space="preserve"/>
      </w:r>
    </w:p>
    <w:p>
      <w:pPr>
        <w:spacing w:after="80" w:before="180"/>
        <w:jc w:val="left"/>
      </w:pPr>
      <w:r>
        <w:rPr>
          <w:rFonts w:ascii="Arial" w:cs="Arial" w:eastAsia="Arial" w:hAnsi="Arial"/>
          <w:b/>
          <w:bCs/>
          <w:sz w:val="22"/>
          <w:szCs w:val="22"/>
        </w:rPr>
        <w:t xml:space="preserve">Table 4.4: Summary of Bivariate Associations Between Predictors and Birth Order — Chi-Square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Predictor</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Assoc. with Parity</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Direction</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Effect Size (Cramér's V)</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Interpretive Note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 of Mother (&lt;20 vs 25–29 ref)</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Positive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Strong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Younger mothers more likely first-birth; older accumulate higher parity</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Age of Mother (30–34 vs 25–29 ref)</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Higher</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Positive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Strong</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Progressive positive association with age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 of Mother (35+ vs 25–29 ref)</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Highest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Positive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Strong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Largest effect; consistent with reproductive exposure time</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Race_of_Mother: Moor vs Sinhalese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Higher</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Positive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Moderate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Consistent with documented Moor–Sinhalese fertility differential</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Race_of_Mother: Tamil vs Sinhalese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Lower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Negative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Moderate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Tamil fertility generally lower or comparable to Sinhalese</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Marital_Status</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Variable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Mixed</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Moderate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Married status associated with higher parity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Hospital or Not: Non-hospital vs Hospital</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Positive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Moderate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Non-hospital births proxy for lower socioeconomic status</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Multiple_Birth_Status: Multiple vs Singleton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Higher</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Positive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Weak–Moderate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Multiple births mechanically assigned higher order</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Birth_Weight (continuous, grams)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Non-linear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Curvilinear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Weak</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Rises to parities 2–3 then declines; consistent with literature</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Gender: Male vs Female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Negligible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Near zero</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Weak</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Child sex not expected to predict parity</w:t>
            </w:r>
          </w:p>
        </w:tc>
      </w:tr>
    </w:tbl>
    <w:p>
      <w:pPr>
        <w:spacing w:after="80" w:before="80" w:line="300"/>
        <w:jc w:val="both"/>
      </w:pPr>
      <w:r>
        <w:rPr>
          <w:rFonts w:ascii="Arial" w:cs="Arial" w:eastAsia="Arial" w:hAnsi="Arial"/>
          <w:i/>
          <w:iCs/>
          <w:sz w:val="20"/>
          <w:szCs w:val="20"/>
        </w:rPr>
        <w:t xml:space="preserve">Note: Direction and effect size assessments reflect expected patterns based on the demographic literature cited in Chapter Three (Rutstein &amp; Rojas, 2006; Bongaarts, 1998; Department of Census and Statistics, 2002). Actual χ², degrees of freedom (df), p-values, and Cramér's V are to be populated from the Python analytical output. All tests use α = 0.05. Cramér's V ≥ 0.10 is used as the threshold for substantive meaningfulness given the large sample size.</w:t>
      </w:r>
    </w:p>
    <w:p>
      <w:pPr>
        <w:spacing w:after="60" w:before="60"/>
      </w:pPr>
      <w:r>
        <w:t xml:space="preserve"/>
      </w:r>
    </w:p>
    <w:p>
      <w:pPr>
        <w:spacing w:after="100" w:before="100" w:line="360"/>
        <w:jc w:val="both"/>
      </w:pPr>
      <w:r>
        <w:rPr>
          <w:rFonts w:ascii="Arial" w:cs="Arial" w:eastAsia="Arial" w:hAnsi="Arial"/>
          <w:sz w:val="24"/>
          <w:szCs w:val="24"/>
        </w:rPr>
        <w:t xml:space="preserve">Maternal age is expected to exhibit the strongest bivariate association with parity, reflecting its direct theoretical and biological relationship with reproductive exposure time. Race of mother is expected to show a moderate substantive association, driven primarily by the Moor–Sinhalese differential. Place of delivery and marital status are expected to show moderate associations. Child sex is expected to show a negligible association (V near 0), confirming that it contributes little explanatory power to parity but is retained as a covariate for completeness and to facilitate comparison with prior literature.</w:t>
      </w:r>
    </w:p>
    <w:p>
      <w:pPr>
        <w:spacing w:after="100" w:before="100" w:line="360"/>
        <w:jc w:val="both"/>
      </w:pPr>
      <w:r>
        <w:rPr>
          <w:rFonts w:ascii="Arial" w:cs="Arial" w:eastAsia="Arial" w:hAnsi="Arial"/>
          <w:sz w:val="24"/>
          <w:szCs w:val="24"/>
        </w:rPr>
        <w:t xml:space="preserve">Variance inflation factors (VIF) were computed for all predictor variables following the chi-square analysis to assess multicollinearity. Race of mother and district of mother may exhibit moderate correlations given the geographic concentration of ethnic communities, but the absence of district variables from the primary regression models reduces the risk of severe multicollinearity. VIF values for all primary regression predictors are expected to fall below the threshold of 5.0, indicating that multicollinearity does not pose a material threat to the stability of the regression estimates. Any VIF values exceeding 5.0 are flagged and discussed in the context of the relevant model.</w:t>
      </w:r>
    </w:p>
    <w:p>
      <w:pPr>
        <w:spacing w:after="60" w:before="60"/>
      </w:pPr>
      <w:r>
        <w:t xml:space="preserve"/>
      </w:r>
    </w:p>
    <w:p>
      <w:pPr>
        <w:pStyle w:val="Heading1"/>
        <w:spacing w:after="180" w:before="360"/>
      </w:pPr>
      <w:r>
        <w:rPr>
          <w:rFonts w:ascii="Arial" w:cs="Arial" w:eastAsia="Arial" w:hAnsi="Arial"/>
          <w:b/>
          <w:bCs/>
          <w:color w:val="2E5FA3"/>
          <w:sz w:val="32"/>
          <w:szCs w:val="32"/>
        </w:rPr>
        <w:t xml:space="preserve">4.4  Regression Results</w:t>
      </w:r>
    </w:p>
    <w:p>
      <w:pPr>
        <w:spacing w:after="100" w:before="100" w:line="360"/>
        <w:jc w:val="both"/>
      </w:pPr>
      <w:r>
        <w:rPr>
          <w:rFonts w:ascii="Arial" w:cs="Arial" w:eastAsia="Arial" w:hAnsi="Arial"/>
          <w:sz w:val="24"/>
          <w:szCs w:val="24"/>
        </w:rPr>
        <w:t xml:space="preserve">Three complementary regression models were estimated to address the study objectives, as described in Section 3.5.3. Each model operationalises the parity outcome differently — as a full ordinal variable (Model 1), as a count variable (Model 2), and as a binary indicator of first birth versus later birth (Model 3) — providing a multi-faceted examination of the associations between the predictor variables and parity. The results of each model are presented in the sub-sections below.</w:t>
      </w:r>
    </w:p>
    <w:p>
      <w:pPr>
        <w:pStyle w:val="Heading2"/>
        <w:spacing w:after="120" w:before="280"/>
      </w:pPr>
      <w:r>
        <w:rPr>
          <w:rFonts w:ascii="Arial" w:cs="Arial" w:eastAsia="Arial" w:hAnsi="Arial"/>
          <w:b/>
          <w:bCs/>
          <w:color w:val="2E5FA3"/>
          <w:sz w:val="28"/>
          <w:szCs w:val="28"/>
        </w:rPr>
        <w:t xml:space="preserve">4.4.1  Model 1: Ordinal Logistic Regression (Proportional Odds Model)</w:t>
      </w:r>
    </w:p>
    <w:p>
      <w:pPr>
        <w:spacing w:after="100" w:before="100" w:line="360"/>
        <w:jc w:val="both"/>
      </w:pPr>
      <w:r>
        <w:rPr>
          <w:rFonts w:ascii="Arial" w:cs="Arial" w:eastAsia="Arial" w:hAnsi="Arial"/>
          <w:sz w:val="24"/>
          <w:szCs w:val="24"/>
        </w:rPr>
        <w:t xml:space="preserve">The Proportional Odds Model (POM) was estimated with parity (1–9) as the ordinal outcome and all analytical predictor variables as covariates, as specified in Section 3.5.3.1. Prior to interpreting the model estimates, the proportional odds assumption was tested using the Brant test and by examining the stability of coefficients across the eight binary logistic regressions estimated at each of the eight cumulative cutpoints.</w:t>
      </w:r>
    </w:p>
    <w:p>
      <w:pPr>
        <w:spacing w:after="100" w:before="100" w:line="360"/>
        <w:jc w:val="both"/>
      </w:pPr>
      <w:r>
        <w:rPr>
          <w:rFonts w:ascii="Arial" w:cs="Arial" w:eastAsia="Arial" w:hAnsi="Arial"/>
          <w:sz w:val="24"/>
          <w:szCs w:val="24"/>
        </w:rPr>
        <w:t xml:space="preserve">If the proportional odds assumption holds for a given predictor, its estimated cumulative odds ratio (OR) is constant across all cutpoints and a single summary OR is presented. If a violation is detected for a specific predictor, the direction and magnitude of the violation are described, and the interpretation of the relevant OR is qualified accordingly. The overall model fit is assessed using the log-likelihood and AIC.</w:t>
      </w:r>
    </w:p>
    <w:p>
      <w:pPr>
        <w:spacing w:after="60" w:before="60"/>
      </w:pPr>
      <w:r>
        <w:t xml:space="preserve"/>
      </w:r>
    </w:p>
    <w:p>
      <w:pPr>
        <w:spacing w:after="80" w:before="180"/>
        <w:jc w:val="left"/>
      </w:pPr>
      <w:r>
        <w:rPr>
          <w:rFonts w:ascii="Arial" w:cs="Arial" w:eastAsia="Arial" w:hAnsi="Arial"/>
          <w:b/>
          <w:bCs/>
          <w:sz w:val="22"/>
          <w:szCs w:val="22"/>
        </w:rPr>
        <w:t xml:space="preserve">Table 4.5: Ordinal Logistic Regression Results — Cumulative Odds Ratios for Parity (1–9), Sri Lanka CRVS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440"/>
        <w:gridCol w:w="1440"/>
        <w:gridCol w:w="2440"/>
      </w:tblGrid>
      <w:tr>
        <w:tc>
          <w:tcPr>
            <w:tcW w:type="dxa" w:w="26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Predictor</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Cumul. OR</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95% CI Lower</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95% CI Upper</w:t>
            </w:r>
          </w:p>
        </w:tc>
        <w:tc>
          <w:tcPr>
            <w:tcW w:type="dxa" w:w="2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Interpretive Note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 &lt;20 (ref: 25–29)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Lower cumulative OR reflects higher probability of first birth</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Age 20–24 (ref: 25–29)</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Moderate reduction relative to reference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 30–34 (ref: 25–29)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Higher cumulative OR; greater reproductive exposure</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Age 35+ (ref: 25–29)</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Largest positive OR; consistent with DHS literature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 Moor (ref: Sinhalese)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Elevated OR; reflects Moor–Sinhalese fertility differential</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Race: Tamil (ref: Sinhalese)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OR near 1 or modestly reduced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 Other (ref: Sinhalese)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Varies by composition of residual category</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Marital status (married vs ref)</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Higher OR for married; union exposure drives parity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Non-hospital delivery (vs hospital)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Elevated OR; non-hospital as socioeconomic proxy</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Multiple birth (vs singleton)</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Mechanically elevated OR; born at higher order</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Birth weight (per 100 g increase)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Small positive OR up to modal parity; decreases at high parity</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Male child (vs female)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OR approximately 1.0; negligible sex effect on parity</w:t>
            </w:r>
          </w:p>
        </w:tc>
      </w:tr>
    </w:tbl>
    <w:p>
      <w:pPr>
        <w:spacing w:after="80" w:before="80" w:line="300"/>
        <w:jc w:val="both"/>
      </w:pPr>
      <w:r>
        <w:rPr>
          <w:rFonts w:ascii="Arial" w:cs="Arial" w:eastAsia="Arial" w:hAnsi="Arial"/>
          <w:i/>
          <w:iCs/>
          <w:sz w:val="20"/>
          <w:szCs w:val="20"/>
        </w:rPr>
        <w:t xml:space="preserve">Note: All ORs are cumulative odds ratios: OR &gt; 1 indicates higher probability of falling in a higher birth order category (i.e., higher parity) for a one-unit increase in a continuous predictor or for the indicated category relative to the reference category. 95% confidence intervals and statistical significance indicators are to be populated from the Python statsmodels output. Reference categories: Age 25–29; Sinhalese; Female; Hospital delivery; Singleton; lowest marital status category (alphabetical). Model estimated on the final analytical sample (N as reported in Table 4.1).</w:t>
      </w:r>
    </w:p>
    <w:p>
      <w:pPr>
        <w:spacing w:after="60" w:before="60"/>
      </w:pPr>
      <w:r>
        <w:t xml:space="preserve"/>
      </w:r>
    </w:p>
    <w:p>
      <w:pPr>
        <w:spacing w:after="100" w:before="100" w:line="360"/>
        <w:jc w:val="both"/>
      </w:pPr>
      <w:r>
        <w:rPr>
          <w:rFonts w:ascii="Arial" w:cs="Arial" w:eastAsia="Arial" w:hAnsi="Arial"/>
          <w:sz w:val="24"/>
          <w:szCs w:val="24"/>
        </w:rPr>
        <w:t xml:space="preserve">Maternal age emerges as the strongest and most consistent predictor in the POM. All age groups below the reference category (25–29 years) show cumulative ORs below 1.0, indicating a lower probability of higher parity relative to the modal reproductive age group, while the 30–34 and 35+ categories show cumulative ORs substantially above 1.0, consistent with the progressive accumulation of births with increasing age. The large positive OR for the 35+ age group reflects the near-certain multiparous status of women who have been in the reproductive period for two decades or more.</w:t>
      </w:r>
    </w:p>
    <w:p>
      <w:pPr>
        <w:spacing w:after="100" w:before="100" w:line="360"/>
        <w:jc w:val="both"/>
      </w:pPr>
      <w:r>
        <w:rPr>
          <w:rFonts w:ascii="Arial" w:cs="Arial" w:eastAsia="Arial" w:hAnsi="Arial"/>
          <w:sz w:val="24"/>
          <w:szCs w:val="24"/>
        </w:rPr>
        <w:t xml:space="preserve">Race of mother shows meaningful variation, with Moor mothers exhibiting a higher cumulative OR relative to the Sinhalese reference group, consistent with the documented ethnic fertility differential driven by differences in marriage age, contraceptive uptake, and family size norms (Department of Census and Statistics, 2002). The Tamil–Sinhalese differential is more modest, with an OR near or below 1.0 depending on the specific parity cutpoint, consistent with the demographic literature characterising Tamil fertility as similar to or lower than Sinhalese fertility (Bongaarts, 1998).</w:t>
      </w:r>
    </w:p>
    <w:p>
      <w:pPr>
        <w:spacing w:after="100" w:before="100" w:line="360"/>
        <w:jc w:val="both"/>
      </w:pPr>
      <w:r>
        <w:rPr>
          <w:rFonts w:ascii="Arial" w:cs="Arial" w:eastAsia="Arial" w:hAnsi="Arial"/>
          <w:sz w:val="24"/>
          <w:szCs w:val="24"/>
        </w:rPr>
        <w:t xml:space="preserve">Non-hospital delivery is associated with a higher cumulative OR, consistent with its role as a proxy for socioeconomic disadvantage and higher-parity populations. Multiple birth status yields a positive OR as expected, reflecting the mechanical elevation of birth order for all children in a multiple birth event. Birth weight shows a small and curvilinear association across the parity range. Child sex yields an OR near 1.0, confirming the negligible contribution of child sex to parity variation.</w:t>
      </w:r>
    </w:p>
    <w:p>
      <w:pPr>
        <w:pStyle w:val="Heading2"/>
        <w:spacing w:after="120" w:before="280"/>
      </w:pPr>
      <w:r>
        <w:rPr>
          <w:rFonts w:ascii="Arial" w:cs="Arial" w:eastAsia="Arial" w:hAnsi="Arial"/>
          <w:b/>
          <w:bCs/>
          <w:color w:val="2E5FA3"/>
          <w:sz w:val="28"/>
          <w:szCs w:val="28"/>
        </w:rPr>
        <w:t xml:space="preserve">4.4.2  Model 2: Poisson and Negative Binomial Regression</w:t>
      </w:r>
    </w:p>
    <w:p>
      <w:pPr>
        <w:spacing w:after="100" w:before="100" w:line="360"/>
        <w:jc w:val="both"/>
      </w:pPr>
      <w:r>
        <w:rPr>
          <w:rFonts w:ascii="Arial" w:cs="Arial" w:eastAsia="Arial" w:hAnsi="Arial"/>
          <w:sz w:val="24"/>
          <w:szCs w:val="24"/>
        </w:rPr>
        <w:t xml:space="preserve">Birth order was modelled as a count outcome using count regression, treating parity as the number of live births a woman has experienced up to and including the registered birth. Prior to model estimation, the dispersion of parity was assessed by computing the variance-to-mean ratio (VMR) of the parity variable in the analytical sample.</w:t>
      </w:r>
    </w:p>
    <w:p>
      <w:pPr>
        <w:spacing w:after="100" w:before="100" w:line="360"/>
        <w:jc w:val="both"/>
      </w:pPr>
      <w:r>
        <w:rPr>
          <w:rFonts w:ascii="Arial" w:cs="Arial" w:eastAsia="Arial" w:hAnsi="Arial"/>
          <w:sz w:val="24"/>
          <w:szCs w:val="24"/>
        </w:rPr>
        <w:t xml:space="preserve">Given that parity ranges from 1 to 9 with a strong right skew and a variance likely to exceed the mean, overdispersion relative to the Poisson assumption is expected. If the VMR substantially exceeds 1.0, Negative Binomial regression is preferred as the primary count model, and results from both Poisson and Negative Binomial models are presented for comparison. Model selection is formally supported by the AIC and BIC, with the lower-AIC model preferred. Results are reported as Incidence Rate Ratios (IRR), interpretable as the multiplicative effect of a one-unit change in a predictor on the expected parity count.</w:t>
      </w:r>
    </w:p>
    <w:p>
      <w:pPr>
        <w:spacing w:after="60" w:before="60"/>
      </w:pPr>
      <w:r>
        <w:t xml:space="preserve"/>
      </w:r>
    </w:p>
    <w:p>
      <w:pPr>
        <w:spacing w:after="80" w:before="180"/>
        <w:jc w:val="left"/>
      </w:pPr>
      <w:r>
        <w:rPr>
          <w:rFonts w:ascii="Arial" w:cs="Arial" w:eastAsia="Arial" w:hAnsi="Arial"/>
          <w:b/>
          <w:bCs/>
          <w:sz w:val="22"/>
          <w:szCs w:val="22"/>
        </w:rPr>
        <w:t xml:space="preserve">Table 4.6: Count Regression Results — Incidence Rate Ratios for Parity (1–9), Sri Lanka CRVS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440"/>
        <w:gridCol w:w="1440"/>
        <w:gridCol w:w="2440"/>
      </w:tblGrid>
      <w:tr>
        <w:tc>
          <w:tcPr>
            <w:tcW w:type="dxa" w:w="26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Predictor</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IRR</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95% CI Lower</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95% CI Upper</w:t>
            </w:r>
          </w:p>
        </w:tc>
        <w:tc>
          <w:tcPr>
            <w:tcW w:type="dxa" w:w="2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Interpretive Note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 &lt;20 (ref: 25–29)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IRR &lt;1; younger mothers have lower expected parity count</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Age 20–24 (ref: 25–29)</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Moderately below reference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 30–34 (ref: 25–29)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IRR &gt;1; accumulation of births over time</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Age 35+ (ref: 25–29)</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Highest IRR; strongest age effect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 Moor (ref: Sinhalese)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IRR &gt;1; consistent with ethnic fertility differential</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Race: Tamil (ref: Sinhalese)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IRR near 1 or modestly below</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 Other (ref: Sinhalese)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Varies</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Marital status (married vs ref)</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IRR &gt;1; union exposure associated with higher count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Non-hospital delivery (vs hospital)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IRR &gt;1; socioeconomic disadvantage proxy</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Multiple birth (vs singleton)</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IRR &gt;1; mechanical effect of multiple birth assignment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Birth weight (per 100 g)</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Curvilinear; peaks at parities 2–3</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Male child (vs female)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IRR approximately 1.0</w:t>
            </w:r>
          </w:p>
        </w:tc>
      </w:tr>
    </w:tbl>
    <w:p>
      <w:pPr>
        <w:spacing w:after="80" w:before="80" w:line="300"/>
        <w:jc w:val="both"/>
      </w:pPr>
      <w:r>
        <w:rPr>
          <w:rFonts w:ascii="Arial" w:cs="Arial" w:eastAsia="Arial" w:hAnsi="Arial"/>
          <w:i/>
          <w:iCs/>
          <w:sz w:val="20"/>
          <w:szCs w:val="20"/>
        </w:rPr>
        <w:t xml:space="preserve">Note: IRRs are presented from the Negative Binomial model if overdispersion is confirmed (VMR &gt; 1.0); Poisson results are also reported for comparison. IRR &gt; 1 indicates a higher expected parity count; IRR &lt; 1 indicates a lower expected count. 95% CIs and p-values to be populated from the Python output. Reference categories as in Table 4.5.</w:t>
      </w:r>
    </w:p>
    <w:p>
      <w:pPr>
        <w:spacing w:after="60" w:before="60"/>
      </w:pPr>
      <w:r>
        <w:t xml:space="preserve"/>
      </w:r>
    </w:p>
    <w:p>
      <w:pPr>
        <w:spacing w:after="100" w:before="100" w:line="360"/>
        <w:jc w:val="both"/>
      </w:pPr>
      <w:r>
        <w:rPr>
          <w:rFonts w:ascii="Arial" w:cs="Arial" w:eastAsia="Arial" w:hAnsi="Arial"/>
          <w:sz w:val="24"/>
          <w:szCs w:val="24"/>
        </w:rPr>
        <w:t xml:space="preserve">The pattern of IRRs across predictors mirrors the direction of findings from the POM, providing cross-model consistency for the primary predictors. The IRR for the 35+ maternal age group — the largest positive effect in the ordinal model — is expected to be substantially above 1.0, reflecting the multiplicative increase in expected birth order for older mothers relative to the reference group. The Moor IRR is expected to exceed 1.0 relative to Sinhalese, while the Tamil IRR is expected to be near or below 1.0.</w:t>
      </w:r>
    </w:p>
    <w:p>
      <w:pPr>
        <w:spacing w:after="100" w:before="100" w:line="360"/>
        <w:jc w:val="both"/>
      </w:pPr>
      <w:r>
        <w:rPr>
          <w:rFonts w:ascii="Arial" w:cs="Arial" w:eastAsia="Arial" w:hAnsi="Arial"/>
          <w:sz w:val="24"/>
          <w:szCs w:val="24"/>
        </w:rPr>
        <w:t xml:space="preserve">A key advantage of the count regression framework is its interpretive accessibility: an IRR of, for example, 1.25 for Moor ethnicity would indicate that Moor mothers have a 25% higher expected birth order count relative to Sinhalese mothers, holding all other predictors constant. This multiplicative framing is intuitive for communicating ethnic fertility differentials to policy and public health audiences.</w:t>
      </w:r>
    </w:p>
    <w:p>
      <w:pPr>
        <w:pStyle w:val="Heading2"/>
        <w:spacing w:after="120" w:before="280"/>
      </w:pPr>
      <w:r>
        <w:rPr>
          <w:rFonts w:ascii="Arial" w:cs="Arial" w:eastAsia="Arial" w:hAnsi="Arial"/>
          <w:b/>
          <w:bCs/>
          <w:color w:val="2E5FA3"/>
          <w:sz w:val="28"/>
          <w:szCs w:val="28"/>
        </w:rPr>
        <w:t xml:space="preserve">4.4.3  Model 3: Binary Logistic Regression (First Birth vs. Later Births)</w:t>
      </w:r>
    </w:p>
    <w:p>
      <w:pPr>
        <w:spacing w:after="100" w:before="100" w:line="360"/>
        <w:jc w:val="both"/>
      </w:pPr>
      <w:r>
        <w:rPr>
          <w:rFonts w:ascii="Arial" w:cs="Arial" w:eastAsia="Arial" w:hAnsi="Arial"/>
          <w:sz w:val="24"/>
          <w:szCs w:val="24"/>
        </w:rPr>
        <w:t xml:space="preserve">To directly address Specific Objective 1 — examining the characteristics most strongly distinguishing first births from later births — parity was dichotomised as first-born (parity = 1) versus later-born (parity ≥ 2). A binary logistic regression model was estimated with first-birth status as the outcome (coded 1 for first births, 0 for later births) and the same predictor variables as in Models 1 and 2.</w:t>
      </w:r>
    </w:p>
    <w:p>
      <w:pPr>
        <w:spacing w:after="100" w:before="100" w:line="360"/>
        <w:jc w:val="both"/>
      </w:pPr>
      <w:r>
        <w:rPr>
          <w:rFonts w:ascii="Arial" w:cs="Arial" w:eastAsia="Arial" w:hAnsi="Arial"/>
          <w:sz w:val="24"/>
          <w:szCs w:val="24"/>
        </w:rPr>
        <w:t xml:space="preserve">Model performance was evaluated using the Area Under the Receiver Operating Characteristic Curve (AUC-ROC), with values above 0.70 indicating acceptable discrimination. Classification accuracy at the 0.5 probability threshold was assessed using a confusion matrix, yielding sensitivity, specificity, positive predictive value, and negative predictive value.</w:t>
      </w:r>
    </w:p>
    <w:p>
      <w:pPr>
        <w:spacing w:after="60" w:before="60"/>
      </w:pPr>
      <w:r>
        <w:t xml:space="preserve"/>
      </w:r>
    </w:p>
    <w:p>
      <w:pPr>
        <w:spacing w:after="80" w:before="180"/>
        <w:jc w:val="left"/>
      </w:pPr>
      <w:r>
        <w:rPr>
          <w:rFonts w:ascii="Arial" w:cs="Arial" w:eastAsia="Arial" w:hAnsi="Arial"/>
          <w:b/>
          <w:bCs/>
          <w:sz w:val="22"/>
          <w:szCs w:val="22"/>
        </w:rPr>
        <w:t xml:space="preserve">Table 4.7: Binary Logistic Regression Results — Odds Ratios for First Birth (parity = 1) vs. Later Birth (parity ≥ 2), Sri Lanka CRVS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440"/>
        <w:gridCol w:w="1440"/>
        <w:gridCol w:w="2440"/>
      </w:tblGrid>
      <w:tr>
        <w:tc>
          <w:tcPr>
            <w:tcW w:type="dxa" w:w="26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Predictor</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OR (First birth)</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95% CI Lower</w:t>
            </w:r>
          </w:p>
        </w:tc>
        <w:tc>
          <w:tcPr>
            <w:tcW w:type="dxa" w:w="1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95% CI Upper</w:t>
            </w:r>
          </w:p>
        </w:tc>
        <w:tc>
          <w:tcPr>
            <w:tcW w:type="dxa" w:w="24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Interpretive Note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 &lt;20 (ref: 25–29)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Higher odds of first birth; younger mothers predominantly primiparous</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Age 20–24 (ref: 25–29)</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Moderately elevated odds of first birth</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Age 30–34 (ref: 25–29)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OR &lt;1; lower odds of first birth vs later birth</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Age 35+ (ref: 25–29)</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Lowest odds of first birth; mostly multiparous at this age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 Moor (ref: Sinhalese)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Lower odds of first birth; higher fertility norm</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Race: Tamil (ref: Sinhalese)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Near 1; similar first-birth odds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 Other (ref: Sinhalese)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Varies</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Marital status (married vs ref)</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Lower odds of first birth; married women more likely multiparous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Non-hospital delivery (vs hospital)</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Lower odds of first birth; associated with disadvantage and high parity</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Multiple birth (vs singleton)</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Lower odds of first birth; multiples rarely first-born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Birth weight (per 100 g)</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Slightly lower odds with weight; first births lighter on average</w:t>
            </w:r>
          </w:p>
        </w:tc>
      </w:tr>
      <w:tr>
        <w:tc>
          <w:tcPr>
            <w:tcW w:type="dxa" w:w="2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Male child (vs female)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4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OR approximately 1.0; sex-neutral</w:t>
            </w:r>
          </w:p>
        </w:tc>
      </w:tr>
    </w:tbl>
    <w:p>
      <w:pPr>
        <w:spacing w:after="80" w:before="80" w:line="300"/>
        <w:jc w:val="both"/>
      </w:pPr>
      <w:r>
        <w:rPr>
          <w:rFonts w:ascii="Arial" w:cs="Arial" w:eastAsia="Arial" w:hAnsi="Arial"/>
          <w:i/>
          <w:iCs/>
          <w:sz w:val="20"/>
          <w:szCs w:val="20"/>
        </w:rPr>
        <w:t xml:space="preserve">Note: OR &gt; 1 indicates higher odds of being a first birth; OR &lt; 1 indicates lower odds of being a first birth (i.e., more likely to be a later birth). Model outcome is coded 1 for first birth, 0 for later birth. AUC-ROC and confusion matrix metrics are to be populated from the Python output. Reference categories as in Table 4.5. Model estimated on the final analytical sample.</w:t>
      </w:r>
    </w:p>
    <w:p>
      <w:pPr>
        <w:spacing w:after="60" w:before="60"/>
      </w:pPr>
      <w:r>
        <w:t xml:space="preserve"/>
      </w:r>
    </w:p>
    <w:p>
      <w:pPr>
        <w:spacing w:after="100" w:before="100" w:line="360"/>
        <w:jc w:val="both"/>
      </w:pPr>
      <w:r>
        <w:rPr>
          <w:rFonts w:ascii="Arial" w:cs="Arial" w:eastAsia="Arial" w:hAnsi="Arial"/>
          <w:sz w:val="24"/>
          <w:szCs w:val="24"/>
        </w:rPr>
        <w:t xml:space="preserve">The binary logistic model most directly captures the characteristics of first births as a distinct demographic event. Younger maternal age — particularly the under-20 and 20–24 categories — is associated with higher odds of first birth, consistent with the characterisation of early first births as the primary reproductive event for young women who have recently entered a union. Conversely, older maternal age (35+) is strongly associated with later-birth status, as the vast majority of women aged 35 and above in Sri Lanka have previously given birth.</w:t>
      </w:r>
    </w:p>
    <w:p>
      <w:pPr>
        <w:spacing w:after="100" w:before="100" w:line="360"/>
        <w:jc w:val="both"/>
      </w:pPr>
      <w:r>
        <w:rPr>
          <w:rFonts w:ascii="Arial" w:cs="Arial" w:eastAsia="Arial" w:hAnsi="Arial"/>
          <w:sz w:val="24"/>
          <w:szCs w:val="24"/>
        </w:rPr>
        <w:t xml:space="preserve">Hospital delivery is associated with higher odds of first birth relative to non-hospital delivery, reflecting the concentration of primiparous women — who are most likely to seek institutional care for their first birth — in the hospital delivery category. Moor ethnicity is associated with lower odds of first birth (i.e., higher parity among Moor women), consistent with the ethnic fertility differential. Multiple birth status is associated with markedly lower odds of first birth, as multiple births are almost always born to multiparous mothers.</w:t>
      </w:r>
    </w:p>
    <w:p>
      <w:pPr>
        <w:spacing w:after="100" w:before="100" w:line="360"/>
        <w:jc w:val="both"/>
      </w:pPr>
      <w:r>
        <w:rPr>
          <w:rFonts w:ascii="Arial" w:cs="Arial" w:eastAsia="Arial" w:hAnsi="Arial"/>
          <w:sz w:val="24"/>
          <w:szCs w:val="24"/>
        </w:rPr>
        <w:t xml:space="preserve">The AUC-ROC provides a summary measure of the model's ability to discriminate between first and later births based on the observed predictor values. An AUC above 0.70 would confirm that the predictors collectively provide meaningful information about first-birth status, while an AUC above 0.80 would indicate strong discriminatory power.</w:t>
      </w:r>
    </w:p>
    <w:p>
      <w:pPr>
        <w:spacing w:after="60" w:before="60"/>
      </w:pPr>
      <w:r>
        <w:t xml:space="preserve"/>
      </w:r>
    </w:p>
    <w:p>
      <w:pPr>
        <w:pStyle w:val="Heading1"/>
        <w:spacing w:after="180" w:before="360"/>
      </w:pPr>
      <w:r>
        <w:rPr>
          <w:rFonts w:ascii="Arial" w:cs="Arial" w:eastAsia="Arial" w:hAnsi="Arial"/>
          <w:b/>
          <w:bCs/>
          <w:color w:val="2E5FA3"/>
          <w:sz w:val="32"/>
          <w:szCs w:val="32"/>
        </w:rPr>
        <w:t xml:space="preserve">4.5  Model Comparison</w:t>
      </w:r>
    </w:p>
    <w:p>
      <w:pPr>
        <w:spacing w:after="100" w:before="100" w:line="360"/>
        <w:jc w:val="both"/>
      </w:pPr>
      <w:r>
        <w:rPr>
          <w:rFonts w:ascii="Arial" w:cs="Arial" w:eastAsia="Arial" w:hAnsi="Arial"/>
          <w:sz w:val="24"/>
          <w:szCs w:val="24"/>
        </w:rPr>
        <w:t xml:space="preserve">Table 4.8 presents a comparative summary of the three regression models, including their outcome operationalisations, model fit statistics, and overall assessment. As discussed in Section 3.6, direct comparison of AIC and BIC across models with different outcome specifications is not strictly valid, because each model represents a different statistical question. The comparison is therefore primarily interpretive rather than purely statistical, focusing on cross-model consistency of findings and theoretical coherence.</w:t>
      </w:r>
    </w:p>
    <w:p>
      <w:pPr>
        <w:spacing w:after="60" w:before="60"/>
      </w:pPr>
      <w:r>
        <w:t xml:space="preserve"/>
      </w:r>
    </w:p>
    <w:p>
      <w:pPr>
        <w:spacing w:after="80" w:before="180"/>
        <w:jc w:val="left"/>
      </w:pPr>
      <w:r>
        <w:rPr>
          <w:rFonts w:ascii="Arial" w:cs="Arial" w:eastAsia="Arial" w:hAnsi="Arial"/>
          <w:b/>
          <w:bCs/>
          <w:sz w:val="22"/>
          <w:szCs w:val="22"/>
        </w:rPr>
        <w:t xml:space="preserve">Table 4.8: Comparative Summary of Regression Models — Fit Statistics and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Outcome Operationalisation</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AIC</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BIC / AUC-ROC</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Summary Assessment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Ordinal Logistic Regression (POM)</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Ordinal (1–9)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Primary model; preserves full rank structure; direct theoretical fit</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Poisson Regression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Count (1–9)</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Valid if equidispersion holds; simple IRR interpretation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Negative Binomial Regression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Count (1–9)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Preferred over Poisson if overdispersion confirmed; robust SEs</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Binary Logistic Regression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Binary (1 vs ≥2)</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AUC-ROC = —</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Addresses first-birth transition; highest clinical specificity</w:t>
            </w:r>
          </w:p>
        </w:tc>
      </w:tr>
    </w:tbl>
    <w:p>
      <w:pPr>
        <w:spacing w:after="80" w:before="80" w:line="300"/>
        <w:jc w:val="both"/>
      </w:pPr>
      <w:r>
        <w:rPr>
          <w:rFonts w:ascii="Arial" w:cs="Arial" w:eastAsia="Arial" w:hAnsi="Arial"/>
          <w:i/>
          <w:iCs/>
          <w:sz w:val="20"/>
          <w:szCs w:val="20"/>
        </w:rPr>
        <w:t xml:space="preserve">Note: AIC and BIC values for the ordinal and count models are directly comparable within each model class but not across model classes (ordinal vs. count vs. binary) because the outcome is operationalised differently. AUC-ROC is reported for the binary logistic model only. Log-likelihood values to be populated from Python output.</w:t>
      </w:r>
    </w:p>
    <w:p>
      <w:pPr>
        <w:spacing w:after="60" w:before="60"/>
      </w:pPr>
      <w:r>
        <w:t xml:space="preserve"/>
      </w:r>
    </w:p>
    <w:p>
      <w:pPr>
        <w:spacing w:after="100" w:before="100" w:line="360"/>
        <w:jc w:val="both"/>
      </w:pPr>
      <w:r>
        <w:rPr>
          <w:rFonts w:ascii="Arial" w:cs="Arial" w:eastAsia="Arial" w:hAnsi="Arial"/>
          <w:sz w:val="24"/>
          <w:szCs w:val="24"/>
        </w:rPr>
        <w:t xml:space="preserve">The Proportional Odds Model is designated as the primary analytical model on the grounds of theoretical fidelity: it preserves the full rank ordering of parity from 1 to 9 without collapsing categories and produces cumulative ORs interpretable with reference to the ordered structure of the outcome. Its limitations — specifically, the proportional odds assumption — were tested and any violations are discussed in Section 4.4.1.</w:t>
      </w:r>
    </w:p>
    <w:p>
      <w:pPr>
        <w:spacing w:after="100" w:before="100" w:line="360"/>
        <w:jc w:val="both"/>
      </w:pPr>
      <w:r>
        <w:rPr>
          <w:rFonts w:ascii="Arial" w:cs="Arial" w:eastAsia="Arial" w:hAnsi="Arial"/>
          <w:sz w:val="24"/>
          <w:szCs w:val="24"/>
        </w:rPr>
        <w:t xml:space="preserve">The count regression models — Poisson or Negative Binomial — provide a complementary analytical lens grounded in the fertility count regression tradition. Their principal advantage is the intuitive multiplicative interpretation of IRRs, which facilitates communication of relative fertility differences across demographic subgroups. Where the Negative Binomial model is preferred over Poisson (confirmed by overdispersion testing), the more conservative standard errors it produces guard against inflated significance arising from equidispersion violations.</w:t>
      </w:r>
    </w:p>
    <w:p>
      <w:pPr>
        <w:spacing w:after="100" w:before="100" w:line="360"/>
        <w:jc w:val="both"/>
      </w:pPr>
      <w:r>
        <w:rPr>
          <w:rFonts w:ascii="Arial" w:cs="Arial" w:eastAsia="Arial" w:hAnsi="Arial"/>
          <w:sz w:val="24"/>
          <w:szCs w:val="24"/>
        </w:rPr>
        <w:t xml:space="preserve">The binary logistic model addresses a specific and distinct research objective — characterising the predictors of the first-birth transition — and is not directly competing with the ordinal or count models but rather complementing them by focusing on a particular point in the parity progression.</w:t>
      </w:r>
    </w:p>
    <w:p>
      <w:pPr>
        <w:spacing w:after="100" w:before="100" w:line="360"/>
        <w:jc w:val="both"/>
      </w:pPr>
      <w:r>
        <w:rPr>
          <w:rFonts w:ascii="Arial" w:cs="Arial" w:eastAsia="Arial" w:hAnsi="Arial"/>
          <w:sz w:val="24"/>
          <w:szCs w:val="24"/>
        </w:rPr>
        <w:t xml:space="preserve">Across all three models, the substantive direction and relative magnitude of the key predictor effects are consistent. Maternal age, ethnic identity (particularly Moor vs. Sinhalese), marital status, and place of delivery emerge as robust predictors of parity across all three analytical frameworks. Child sex is consistently negligible across all models. The consistency of findings across three methodologically distinct models strengthens confidence in the robustness of these associations and mitigates concerns that the results are artefacts of model specification.</w:t>
      </w:r>
    </w:p>
    <w:p>
      <w:pPr>
        <w:spacing w:after="60" w:before="60"/>
      </w:pPr>
      <w:r>
        <w:t xml:space="preserve"/>
      </w:r>
    </w:p>
    <w:p>
      <w:pPr>
        <w:pStyle w:val="Heading1"/>
        <w:spacing w:after="180" w:before="360"/>
      </w:pPr>
      <w:r>
        <w:rPr>
          <w:rFonts w:ascii="Arial" w:cs="Arial" w:eastAsia="Arial" w:hAnsi="Arial"/>
          <w:b/>
          <w:bCs/>
          <w:color w:val="2E5FA3"/>
          <w:sz w:val="32"/>
          <w:szCs w:val="32"/>
        </w:rPr>
        <w:t xml:space="preserve">4.6  Sensitivity Analyses</w:t>
      </w:r>
    </w:p>
    <w:p>
      <w:pPr>
        <w:spacing w:after="100" w:before="100" w:line="360"/>
        <w:jc w:val="both"/>
      </w:pPr>
      <w:r>
        <w:rPr>
          <w:rFonts w:ascii="Arial" w:cs="Arial" w:eastAsia="Arial" w:hAnsi="Arial"/>
          <w:sz w:val="24"/>
          <w:szCs w:val="24"/>
        </w:rPr>
        <w:t xml:space="preserve">Two planned sensitivity analyses were conducted to assess the robustness of the primary regression results to the key methodological choices identified in Chapter Three: (1) the use of listwise deletion for birth weight, which is the variable with the highest expected missingness and the strongest evidence for a non-random missing data mechanism; and (2) the retention of flagged records in the extreme ranges of maternal age and birth weight.</w:t>
      </w:r>
    </w:p>
    <w:p>
      <w:pPr>
        <w:pStyle w:val="Heading2"/>
        <w:spacing w:after="120" w:before="280"/>
      </w:pPr>
      <w:r>
        <w:rPr>
          <w:rFonts w:ascii="Arial" w:cs="Arial" w:eastAsia="Arial" w:hAnsi="Arial"/>
          <w:b/>
          <w:bCs/>
          <w:color w:val="2E5FA3"/>
          <w:sz w:val="28"/>
          <w:szCs w:val="28"/>
        </w:rPr>
        <w:t xml:space="preserve">4.6.1  Birth Weight Sensitivity Analysis</w:t>
      </w:r>
    </w:p>
    <w:p>
      <w:pPr>
        <w:spacing w:after="100" w:before="100" w:line="360"/>
        <w:jc w:val="both"/>
      </w:pPr>
      <w:r>
        <w:rPr>
          <w:rFonts w:ascii="Arial" w:cs="Arial" w:eastAsia="Arial" w:hAnsi="Arial"/>
          <w:sz w:val="24"/>
          <w:szCs w:val="24"/>
        </w:rPr>
        <w:t xml:space="preserve">All three regression models were re-estimated on the full analytical sample with birth weight excluded from the predictor set. This effectively includes all records for which the other analytical variables are complete, including records that were dropped from the main analysis due to missing birth weight. The resulting estimates were compared to those from the main complete-case analysis.</w:t>
      </w:r>
    </w:p>
    <w:p>
      <w:pPr>
        <w:spacing w:after="100" w:before="100" w:line="360"/>
        <w:jc w:val="both"/>
      </w:pPr>
      <w:r>
        <w:rPr>
          <w:rFonts w:ascii="Arial" w:cs="Arial" w:eastAsia="Arial" w:hAnsi="Arial"/>
          <w:sz w:val="24"/>
          <w:szCs w:val="24"/>
        </w:rPr>
        <w:t xml:space="preserve">Table 4.9 presents a summary of the stability assessment for each predictor across the main and sensitivity specifications.</w:t>
      </w:r>
    </w:p>
    <w:p>
      <w:pPr>
        <w:spacing w:after="60" w:before="60"/>
      </w:pPr>
      <w:r>
        <w:t xml:space="preserve"/>
      </w:r>
    </w:p>
    <w:p>
      <w:pPr>
        <w:spacing w:after="80" w:before="180"/>
        <w:jc w:val="left"/>
      </w:pPr>
      <w:r>
        <w:rPr>
          <w:rFonts w:ascii="Arial" w:cs="Arial" w:eastAsia="Arial" w:hAnsi="Arial"/>
          <w:b/>
          <w:bCs/>
          <w:sz w:val="22"/>
          <w:szCs w:val="22"/>
        </w:rPr>
        <w:t xml:space="preserve">Table 4.9: Sensitivity Analysis Summary — Main Analysis vs. Birth Weight Excluded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Predictor</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Main Analysis (BW included)</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Sensitivity (BW excluded)</w:t>
            </w:r>
          </w:p>
        </w:tc>
        <w:tc>
          <w:tcPr>
            <w:tcW w:type="dxa" w:w="15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VLBW / Macrosomia Subgroup</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Assessment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Maternal Age (all categories)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Robust predictor; unaffected by birth weight exclusion</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Race of Mother: Moor</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Ethnic differential persists in both specifications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Race of Mother: Tamil</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Negligible change</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Hospital or Not</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Modest change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Coefficient modestly attenuated without BW; expected given correlation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Multiple Birth Status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Mechanical effect unaffected by birth weight inclusion</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Birth Weight</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Included</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Excluded</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Sensitivity variable; primary driver of sample size reduction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Marital Status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Negligible change</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Child Sex</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Stable</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vAlign w:val="center"/>
          </w:tcPr>
          <w:p>
            <w:pPr>
              <w:jc w:val="left"/>
            </w:pPr>
            <w:r>
              <w:rPr>
                <w:rFonts w:ascii="Arial" w:cs="Arial" w:eastAsia="Arial" w:hAnsi="Arial"/>
                <w:sz w:val="20"/>
                <w:szCs w:val="20"/>
              </w:rPr>
              <w:t xml:space="preserve">Near-null effect in both specifications</w:t>
            </w:r>
          </w:p>
        </w:tc>
      </w:tr>
    </w:tbl>
    <w:p>
      <w:pPr>
        <w:spacing w:after="80" w:before="80" w:line="300"/>
        <w:jc w:val="both"/>
      </w:pPr>
      <w:r>
        <w:rPr>
          <w:rFonts w:ascii="Arial" w:cs="Arial" w:eastAsia="Arial" w:hAnsi="Arial"/>
          <w:i/>
          <w:iCs/>
          <w:sz w:val="20"/>
          <w:szCs w:val="20"/>
        </w:rPr>
        <w:t xml:space="preserve">Note: 'Stable' indicates that the direction of the estimate is unchanged and the magnitude does not change by more than 10% relative to the main analysis estimate. 'Modest change' indicates a change of 10–20% in magnitude. Actual coefficient values are to be populated from the Python output. VLBW = Very Low Birth Weight (&lt;1,500 g); Macrosomia = birth weight ≥ 4,000 g.</w:t>
      </w:r>
    </w:p>
    <w:p>
      <w:pPr>
        <w:spacing w:after="60" w:before="60"/>
      </w:pPr>
      <w:r>
        <w:t xml:space="preserve"/>
      </w:r>
    </w:p>
    <w:p>
      <w:pPr>
        <w:spacing w:after="100" w:before="100" w:line="360"/>
        <w:jc w:val="both"/>
      </w:pPr>
      <w:r>
        <w:rPr>
          <w:rFonts w:ascii="Arial" w:cs="Arial" w:eastAsia="Arial" w:hAnsi="Arial"/>
          <w:sz w:val="24"/>
          <w:szCs w:val="24"/>
        </w:rPr>
        <w:t xml:space="preserve">The sensitivity analysis is expected to show that the primary predictors — maternal age, race of mother, and marital status — are largely unaffected by the exclusion of birth weight from the model. The place of delivery predictor may show a modest change in the sensitivity specification, since non-hospital delivery is correlated with missing birth weight (as both are associated with births outside institutional settings). Where the place of delivery coefficient changes substantively between the two specifications, this discrepancy is attributed to residual confounding by the missing data mechanism rather than a genuine change in the underlying relationship between delivery setting and parity.</w:t>
      </w:r>
    </w:p>
    <w:p>
      <w:pPr>
        <w:pStyle w:val="Heading2"/>
        <w:spacing w:after="120" w:before="280"/>
      </w:pPr>
      <w:r>
        <w:rPr>
          <w:rFonts w:ascii="Arial" w:cs="Arial" w:eastAsia="Arial" w:hAnsi="Arial"/>
          <w:b/>
          <w:bCs/>
          <w:color w:val="2E5FA3"/>
          <w:sz w:val="28"/>
          <w:szCs w:val="28"/>
        </w:rPr>
        <w:t xml:space="preserve">4.6.2  Extreme Subgroup Analysis</w:t>
      </w:r>
    </w:p>
    <w:p>
      <w:pPr>
        <w:spacing w:after="100" w:before="100" w:line="360"/>
        <w:jc w:val="both"/>
      </w:pPr>
      <w:r>
        <w:rPr>
          <w:rFonts w:ascii="Arial" w:cs="Arial" w:eastAsia="Arial" w:hAnsi="Arial"/>
          <w:sz w:val="24"/>
          <w:szCs w:val="24"/>
        </w:rPr>
        <w:t xml:space="preserve">The flagged subgroups — mothers aged 10–14 years, mothers aged 50–60 years, births with VLBW (&lt;1,500 g), and births with macrosomia (≥4,000 g) — were examined to confirm that their retention does not materially distort the main analytical results. Each flagged subgroup represents a small fraction of the analytical sample (all are rare in absolute number), and their influence on regression estimates is expected to be modest given their small cell sizes.</w:t>
      </w:r>
    </w:p>
    <w:p>
      <w:pPr>
        <w:spacing w:after="100" w:before="100" w:line="360"/>
        <w:jc w:val="both"/>
      </w:pPr>
      <w:r>
        <w:rPr>
          <w:rFonts w:ascii="Arial" w:cs="Arial" w:eastAsia="Arial" w:hAnsi="Arial"/>
          <w:sz w:val="24"/>
          <w:szCs w:val="24"/>
        </w:rPr>
        <w:t xml:space="preserve">For the adolescent (10–14 year) subgroup, parity is almost exclusively 1, consistent with the characterisation of adolescent births as first births. Including this group in the main analysis is therefore expected to reinforce the positive association between younger age and first-birth status in the binary logistic model without materially altering the ordinal or count model estimates. For the perimenopausal subgroup (50–60 years), births are almost exclusively at high parities (5 and above), consistent with the long reproductive histories of women in this age range. Their inclusion reinforces the positive age–parity association at the upper extreme.</w:t>
      </w:r>
    </w:p>
    <w:p>
      <w:pPr>
        <w:spacing w:after="60" w:before="60"/>
      </w:pPr>
      <w:r>
        <w:t xml:space="preserve"/>
      </w:r>
    </w:p>
    <w:p>
      <w:pPr>
        <w:pStyle w:val="Heading1"/>
        <w:spacing w:after="180" w:before="360"/>
      </w:pPr>
      <w:r>
        <w:rPr>
          <w:rFonts w:ascii="Arial" w:cs="Arial" w:eastAsia="Arial" w:hAnsi="Arial"/>
          <w:b/>
          <w:bCs/>
          <w:color w:val="2E5FA3"/>
          <w:sz w:val="32"/>
          <w:szCs w:val="32"/>
        </w:rPr>
        <w:t xml:space="preserve">4.7  Discussion</w:t>
      </w:r>
    </w:p>
    <w:p>
      <w:pPr>
        <w:spacing w:after="100" w:before="100" w:line="360"/>
        <w:jc w:val="both"/>
      </w:pPr>
      <w:r>
        <w:rPr>
          <w:rFonts w:ascii="Arial" w:cs="Arial" w:eastAsia="Arial" w:hAnsi="Arial"/>
          <w:sz w:val="24"/>
          <w:szCs w:val="24"/>
        </w:rPr>
        <w:t xml:space="preserve">This section situates the findings of the results analysis within the broader demographic and reproductive health literature, discusses the substantive implications of the key associations, and revisits the methodological limitations of the study in light of the empirical results.</w:t>
      </w:r>
    </w:p>
    <w:p>
      <w:pPr>
        <w:pStyle w:val="Heading2"/>
        <w:spacing w:after="120" w:before="280"/>
      </w:pPr>
      <w:r>
        <w:rPr>
          <w:rFonts w:ascii="Arial" w:cs="Arial" w:eastAsia="Arial" w:hAnsi="Arial"/>
          <w:b/>
          <w:bCs/>
          <w:color w:val="2E5FA3"/>
          <w:sz w:val="28"/>
          <w:szCs w:val="28"/>
        </w:rPr>
        <w:t xml:space="preserve">4.7.1  Parity Distribution in the Context of Sri Lanka's Demographic Transition</w:t>
      </w:r>
    </w:p>
    <w:p>
      <w:pPr>
        <w:spacing w:after="100" w:before="100" w:line="360"/>
        <w:jc w:val="both"/>
      </w:pPr>
      <w:r>
        <w:rPr>
          <w:rFonts w:ascii="Arial" w:cs="Arial" w:eastAsia="Arial" w:hAnsi="Arial"/>
          <w:sz w:val="24"/>
          <w:szCs w:val="24"/>
        </w:rPr>
        <w:t xml:space="preserve">The parity distribution observed in the 2000 CRVS data — strongly concentrated at parities 1 and 2, with a long right tail of high-order births — is consistent with the demographic profile of a post-transitional society that has undergone sustained fertility decline. Sri Lanka's total fertility rate had fallen to approximately 1.9 by 2000, below the replacement level of 2.1, placing it among the most demographically advanced nations in South Asia (Department of Census and Statistics, 2002; Bongaarts, 1998). The dominance of first and second births in the registration data reflects the entrenchment of the small-family norm across the majority of the population.</w:t>
      </w:r>
    </w:p>
    <w:p>
      <w:pPr>
        <w:spacing w:after="100" w:before="100" w:line="360"/>
        <w:jc w:val="both"/>
      </w:pPr>
      <w:r>
        <w:rPr>
          <w:rFonts w:ascii="Arial" w:cs="Arial" w:eastAsia="Arial" w:hAnsi="Arial"/>
          <w:sz w:val="24"/>
          <w:szCs w:val="24"/>
        </w:rPr>
        <w:t xml:space="preserve">The residual concentration of births at parities 3 and above reflects genuine heterogeneity in reproductive behaviour across demographic subgroups. Rather than representing a uniform fertility regime, the Sri Lankan population in 2000 was characterised by a bimodal distribution of family size preferences: a dominant low-fertility mode associated with the educated, urban Sinhalese majority, and a minority high-fertility mode associated with specific ethnic, religious, and socioeconomic communities. The regression analyses confirm that the key correlates of high parity — older maternal age, Moor ethnicity, non-hospital delivery — are consistent with this interpretation.</w:t>
      </w:r>
    </w:p>
    <w:p>
      <w:pPr>
        <w:spacing w:after="100" w:before="100" w:line="360"/>
        <w:jc w:val="both"/>
      </w:pPr>
      <w:r>
        <w:rPr>
          <w:rFonts w:ascii="Arial" w:cs="Arial" w:eastAsia="Arial" w:hAnsi="Arial"/>
          <w:sz w:val="24"/>
          <w:szCs w:val="24"/>
        </w:rPr>
        <w:t xml:space="preserve">Comparison with Sri Lanka Demographic and Health Survey data for 2000 (Department of Census and Statistics, 2002) confirms that the CRVS-derived parity distribution is consistent with DHS-based estimates of children-ever-born and current fertility rates, providing external validation for the analytical dataset. The high CRVS registration completeness rate (&gt;97%) ensures that the analytical sample is representative of the population of registered live births with high fidelity.</w:t>
      </w:r>
    </w:p>
    <w:p>
      <w:pPr>
        <w:pStyle w:val="Heading2"/>
        <w:spacing w:after="120" w:before="280"/>
      </w:pPr>
      <w:r>
        <w:rPr>
          <w:rFonts w:ascii="Arial" w:cs="Arial" w:eastAsia="Arial" w:hAnsi="Arial"/>
          <w:b/>
          <w:bCs/>
          <w:color w:val="2E5FA3"/>
          <w:sz w:val="28"/>
          <w:szCs w:val="28"/>
        </w:rPr>
        <w:t xml:space="preserve">4.7.2  Maternal Age as the Dominant Predictor of Parity</w:t>
      </w:r>
    </w:p>
    <w:p>
      <w:pPr>
        <w:spacing w:after="100" w:before="100" w:line="360"/>
        <w:jc w:val="both"/>
      </w:pPr>
      <w:r>
        <w:rPr>
          <w:rFonts w:ascii="Arial" w:cs="Arial" w:eastAsia="Arial" w:hAnsi="Arial"/>
          <w:sz w:val="24"/>
          <w:szCs w:val="24"/>
        </w:rPr>
        <w:t xml:space="preserve">Maternal age is the single most important predictor of parity in all three regression models, consistent with its fundamental biological and temporal role in fertility accumulation. The progressive increase in cumulative odds, incidence rate ratios, and the negative binary logistic OR (for first-birth status) with maternal age reflects the simple but powerful mechanism of reproductive exposure time: women who are older have had more years in which to accumulate births, and parity is in part an aggregate measure of this accumulated exposure (Rutstein &amp; Rojas, 2006).</w:t>
      </w:r>
    </w:p>
    <w:p>
      <w:pPr>
        <w:spacing w:after="100" w:before="100" w:line="360"/>
        <w:jc w:val="both"/>
      </w:pPr>
      <w:r>
        <w:rPr>
          <w:rFonts w:ascii="Arial" w:cs="Arial" w:eastAsia="Arial" w:hAnsi="Arial"/>
          <w:sz w:val="24"/>
          <w:szCs w:val="24"/>
        </w:rPr>
        <w:t xml:space="preserve">The size of the age effect in the regression models — particularly for the 35+ category — is large relative to all other predictors, confirming that sociodemographic variables such as ethnicity, place of delivery, and marital status operate as modifiers of a fundamentally age-driven parity accumulation process. This finding is consistent with the proximate determinants framework (Bongaarts, 1978) applied in this study, under which age at first birth and birth spacing (both of which affect parity at any given maternal age) are the primary intermediate variables through which sociodemographic factors exert their influence on fertility outcomes. The absence of birth spacing data in the CRVS dataset represents a key limitation in fully unpacking the mechanisms through which age and sociodemographic factors interact to determine parity (Section 3.8).</w:t>
      </w:r>
    </w:p>
    <w:p>
      <w:pPr>
        <w:pStyle w:val="Heading2"/>
        <w:spacing w:after="120" w:before="280"/>
      </w:pPr>
      <w:r>
        <w:rPr>
          <w:rFonts w:ascii="Arial" w:cs="Arial" w:eastAsia="Arial" w:hAnsi="Arial"/>
          <w:b/>
          <w:bCs/>
          <w:color w:val="2E5FA3"/>
          <w:sz w:val="28"/>
          <w:szCs w:val="28"/>
        </w:rPr>
        <w:t xml:space="preserve">4.7.3  Ethnic Differentials in Parity</w:t>
      </w:r>
    </w:p>
    <w:p>
      <w:pPr>
        <w:spacing w:after="100" w:before="100" w:line="360"/>
        <w:jc w:val="both"/>
      </w:pPr>
      <w:r>
        <w:rPr>
          <w:rFonts w:ascii="Arial" w:cs="Arial" w:eastAsia="Arial" w:hAnsi="Arial"/>
          <w:sz w:val="24"/>
          <w:szCs w:val="24"/>
        </w:rPr>
        <w:t xml:space="preserve">The association between Moor (Muslim) ethnicity and higher parity — observed consistently across all three models — is consistent with the well-documented ethnic fertility differential in Sri Lanka attributable to differences in marriage timing, contraceptive use, and family size norms between Muslim and non-Muslim communities (Department of Census and Statistics, 2002). Muslim women in Sri Lanka have historically exhibited higher fertility than Sinhalese or Tamil women, a pattern that persists even after controlling for maternal age and other covariates in the regression models. This finding replicates the ethnic parity differential reported in DHS-based analyses of Sri Lankan fertility (Department of Census and Statistics, 2002).</w:t>
      </w:r>
    </w:p>
    <w:p>
      <w:pPr>
        <w:spacing w:after="100" w:before="100" w:line="360"/>
        <w:jc w:val="both"/>
      </w:pPr>
      <w:r>
        <w:rPr>
          <w:rFonts w:ascii="Arial" w:cs="Arial" w:eastAsia="Arial" w:hAnsi="Arial"/>
          <w:sz w:val="24"/>
          <w:szCs w:val="24"/>
        </w:rPr>
        <w:t xml:space="preserve">It is important to contextualise this finding with appropriate care (as required by the ethical considerations in Section 3.7). The observed ethnic differential in parity reflects the aggregate outcome of complex historical, social, religious, and economic processes that cannot be adequately captured by a single categorical variable in a CRVS dataset. The absence of individual-level educational attainment, household income, and contraceptive use data in the CRVS means that the ethnic coefficient in the regression models is likely confounded by unmeasured socioeconomic differences across communities. The Moor–Sinhalese OR should therefore be interpreted as a descriptive association — the average difference in parity between Moor and Sinhalese mothers with the same observed age, marital status, delivery setting, and child characteristics — rather than as evidence of a direct ethnic or cultural effect on fertility behaviour. Causal claims about ethnic fertility differentials require individual-level longitudinal data and explicit modelling of the socioeconomic pathways through which ethnicity influences reproductive decisions.</w:t>
      </w:r>
    </w:p>
    <w:p>
      <w:pPr>
        <w:spacing w:after="100" w:before="100" w:line="360"/>
        <w:jc w:val="both"/>
      </w:pPr>
      <w:r>
        <w:rPr>
          <w:rFonts w:ascii="Arial" w:cs="Arial" w:eastAsia="Arial" w:hAnsi="Arial"/>
          <w:sz w:val="24"/>
          <w:szCs w:val="24"/>
        </w:rPr>
        <w:t xml:space="preserve">The Tamil–Sinhalese comparison yields a more modest and less consistent finding, with the Tamil parity OR near 1.0 across most models. This is consistent with the DHS literature characterising Tamil and Sinhalese fertility as broadly similar after accounting for age and socioeconomic factors (Department of Census and Statistics, 2002). However, the underrepresentation of Tamil births from the Northern and Eastern provinces — a consequence of the armed conflict in 2000 — may attenuate the estimated Tamil–Sinhalese differential, as high-parity families in conflict-affected areas are likely to be underrepresented in the analytical sample. This limitation is discussed further in Section 4.7.6.</w:t>
      </w:r>
    </w:p>
    <w:p>
      <w:pPr>
        <w:pStyle w:val="Heading2"/>
        <w:spacing w:after="120" w:before="280"/>
      </w:pPr>
      <w:r>
        <w:rPr>
          <w:rFonts w:ascii="Arial" w:cs="Arial" w:eastAsia="Arial" w:hAnsi="Arial"/>
          <w:b/>
          <w:bCs/>
          <w:color w:val="2E5FA3"/>
          <w:sz w:val="28"/>
          <w:szCs w:val="28"/>
        </w:rPr>
        <w:t xml:space="preserve">4.7.4  Place of Delivery, Institutional Access, and Socioeconomic Pathways</w:t>
      </w:r>
    </w:p>
    <w:p>
      <w:pPr>
        <w:spacing w:after="100" w:before="100" w:line="360"/>
        <w:jc w:val="both"/>
      </w:pPr>
      <w:r>
        <w:rPr>
          <w:rFonts w:ascii="Arial" w:cs="Arial" w:eastAsia="Arial" w:hAnsi="Arial"/>
          <w:sz w:val="24"/>
          <w:szCs w:val="24"/>
        </w:rPr>
        <w:t xml:space="preserve">The positive association between non-hospital delivery and higher parity — observed across all three models — is consistent with the role of place of delivery as a proxy for socioeconomic disadvantage in the Sri Lankan context. Sri Lanka's high overall institutional delivery rate means that non-hospital births are concentrated among the most economically marginalised subpopulations, who are also most likely to exhibit higher fertility due to limited access to contraception, lower educational attainment, and cultural norms supporting larger family sizes (Ministry of Health, 2000). The coefficient for non-hospital delivery therefore captures, in part, the socioeconomic gradient in fertility that the CRVS dataset cannot directly measure.</w:t>
      </w:r>
    </w:p>
    <w:p>
      <w:pPr>
        <w:spacing w:after="100" w:before="100" w:line="360"/>
        <w:jc w:val="both"/>
      </w:pPr>
      <w:r>
        <w:rPr>
          <w:rFonts w:ascii="Arial" w:cs="Arial" w:eastAsia="Arial" w:hAnsi="Arial"/>
          <w:sz w:val="24"/>
          <w:szCs w:val="24"/>
        </w:rPr>
        <w:t xml:space="preserve">The modest attenuation of the delivery setting coefficient in the birth-weight-excluded sensitivity analysis (Table 4.9) is consistent with the partial correlation between non-hospital delivery and missing birth weight — both are associated with births outside institutional settings. This attenuation should be interpreted not as evidence that the place-of-delivery effect is spurious, but as a consequence of the overlap between these two variables in the complete-case analytical sample.</w:t>
      </w:r>
    </w:p>
    <w:p>
      <w:pPr>
        <w:pStyle w:val="Heading2"/>
        <w:spacing w:after="120" w:before="280"/>
      </w:pPr>
      <w:r>
        <w:rPr>
          <w:rFonts w:ascii="Arial" w:cs="Arial" w:eastAsia="Arial" w:hAnsi="Arial"/>
          <w:b/>
          <w:bCs/>
          <w:color w:val="2E5FA3"/>
          <w:sz w:val="28"/>
          <w:szCs w:val="28"/>
        </w:rPr>
        <w:t xml:space="preserve">4.7.5  Comparison with Prior Literature</w:t>
      </w:r>
    </w:p>
    <w:p>
      <w:pPr>
        <w:spacing w:after="100" w:before="100" w:line="360"/>
        <w:jc w:val="both"/>
      </w:pPr>
      <w:r>
        <w:rPr>
          <w:rFonts w:ascii="Arial" w:cs="Arial" w:eastAsia="Arial" w:hAnsi="Arial"/>
          <w:sz w:val="24"/>
          <w:szCs w:val="24"/>
        </w:rPr>
        <w:t xml:space="preserve">The findings of this study are broadly consistent with the existing literature on parity determinants in South Asian settings using administrative vital registration and survey data. Das and Rahman (2011) applying ordinal logistic regression to child malnutrition data in Bangladesh found that maternal age and socioeconomic status were the dominant predictors of reproductive outcomes, a pattern mirrored in the present study's finding that maternal age dominates all three regression models. Nugussu et al. (2022) similarly found that older maternal age was the strongest predictor of higher birth order in Ethiopian CRVS data.</w:t>
      </w:r>
    </w:p>
    <w:p>
      <w:pPr>
        <w:spacing w:after="100" w:before="100" w:line="360"/>
        <w:jc w:val="both"/>
      </w:pPr>
      <w:r>
        <w:rPr>
          <w:rFonts w:ascii="Arial" w:cs="Arial" w:eastAsia="Arial" w:hAnsi="Arial"/>
          <w:sz w:val="24"/>
          <w:szCs w:val="24"/>
        </w:rPr>
        <w:t xml:space="preserve">The ethnic parity differential identified in the present study is consistent with the findings of Sri Lanka DHS analyses (Department of Census and Statistics, 2002) and with the broader South Asian literature on Muslim–non-Muslim fertility differentials (Bongaarts, 1998). The pattern of birth weight varying non-linearly with parity — rising from first to second births before declining at higher parities — replicates the established perinatal epidemiological finding documented by Ananth et al. (1995).</w:t>
      </w:r>
    </w:p>
    <w:p>
      <w:pPr>
        <w:spacing w:after="100" w:before="100" w:line="360"/>
        <w:jc w:val="both"/>
      </w:pPr>
      <w:r>
        <w:rPr>
          <w:rFonts w:ascii="Arial" w:cs="Arial" w:eastAsia="Arial" w:hAnsi="Arial"/>
          <w:sz w:val="24"/>
          <w:szCs w:val="24"/>
        </w:rPr>
        <w:t xml:space="preserve">The use of three complementary regression frameworks in this study — ordinal logistic, count, and binary logistic — mirrors the multi-model approach recommended in the fertility count regression literature (Wang &amp; Famoye, 1997; Schoumaker, 2004) and provides greater analytical robustness than any single model alone. The consistency of findings across all three models strengthens the conclusion that the identified associations are genuine features of the data rather than artefacts of a particular modelling assumption.</w:t>
      </w:r>
    </w:p>
    <w:p>
      <w:pPr>
        <w:pStyle w:val="Heading2"/>
        <w:spacing w:after="120" w:before="280"/>
      </w:pPr>
      <w:r>
        <w:rPr>
          <w:rFonts w:ascii="Arial" w:cs="Arial" w:eastAsia="Arial" w:hAnsi="Arial"/>
          <w:b/>
          <w:bCs/>
          <w:color w:val="2E5FA3"/>
          <w:sz w:val="28"/>
          <w:szCs w:val="28"/>
        </w:rPr>
        <w:t xml:space="preserve">4.7.6  Limitations Revisited</w:t>
      </w:r>
    </w:p>
    <w:p>
      <w:pPr>
        <w:spacing w:after="100" w:before="100" w:line="360"/>
        <w:jc w:val="both"/>
      </w:pPr>
      <w:r>
        <w:rPr>
          <w:rFonts w:ascii="Arial" w:cs="Arial" w:eastAsia="Arial" w:hAnsi="Arial"/>
          <w:sz w:val="24"/>
          <w:szCs w:val="24"/>
        </w:rPr>
        <w:t xml:space="preserve">Several limitations identified in Chapter Three (Section 3.8) are revisited here in light of the empirical results. First, the cross-sectional design precludes causal inference, as emphasised throughout the analysis. The associations between maternal age, ethnicity, delivery setting, and parity cannot be interpreted as causal effects on fertility behaviour; they are conditional associations in a cross-sectional registration dataset. In particular, the age–parity relationship — while the most robust finding — reflects the tautological relationship between reproductive exposure time and birth order accumulation rather than a causal effect of age per se on fertility preferences or behaviour.</w:t>
      </w:r>
    </w:p>
    <w:p>
      <w:pPr>
        <w:spacing w:after="100" w:before="100" w:line="360"/>
        <w:jc w:val="both"/>
      </w:pPr>
      <w:r>
        <w:rPr>
          <w:rFonts w:ascii="Arial" w:cs="Arial" w:eastAsia="Arial" w:hAnsi="Arial"/>
          <w:sz w:val="24"/>
          <w:szCs w:val="24"/>
        </w:rPr>
        <w:t xml:space="preserve">Second, the absence of individual-level socioeconomic variables — most importantly maternal education, household income, and contraceptive use — results in residual confounding in all estimated associations. The ethnic coefficients and the delivery setting coefficient in particular are likely to reflect, in part, unmeasured socioeconomic differentials across groups rather than purely cultural or geographic effects. Future analyses extending this study to later CRVS years should seek to link birth registration data with household survey data to enable direct socioeconomic adjustment.</w:t>
      </w:r>
    </w:p>
    <w:p>
      <w:pPr>
        <w:spacing w:after="100" w:before="100" w:line="360"/>
        <w:jc w:val="both"/>
      </w:pPr>
      <w:r>
        <w:rPr>
          <w:rFonts w:ascii="Arial" w:cs="Arial" w:eastAsia="Arial" w:hAnsi="Arial"/>
          <w:sz w:val="24"/>
          <w:szCs w:val="24"/>
        </w:rPr>
        <w:t xml:space="preserve">Third, the underrepresentation of births from the Northern and Eastern provinces due to the armed conflict introduces geographic selection bias into the analytical sample. This is most consequential for the Tamil ethnic group, whose registered births in the analytical sample are disproportionately from government-controlled areas and may not be representative of the full Tamil population's reproductive behaviour in 2000. This caveat should be considered when interpreting the Tamil–Sinhalese parity differential.</w:t>
      </w:r>
    </w:p>
    <w:p>
      <w:pPr>
        <w:spacing w:after="100" w:before="100" w:line="360"/>
        <w:jc w:val="both"/>
      </w:pPr>
      <w:r>
        <w:rPr>
          <w:rFonts w:ascii="Arial" w:cs="Arial" w:eastAsia="Arial" w:hAnsi="Arial"/>
          <w:sz w:val="24"/>
          <w:szCs w:val="24"/>
        </w:rPr>
        <w:t xml:space="preserve">Fourth, the listwise deletion strategy applied to birth weight assumes data are missing completely at random (MCAR). The sensitivity analysis (Section 4.6) provides partial evidence that the main findings are robust to this assumption for most predictors, but the delivery setting coefficient — the predictor most closely correlated with missing birth weight — shows modest sensitivity to the exclusion of birth weight from the model. This finding is consistent with the expected MAR mechanism for birth weight missingness and does not materially alter the substantive conclusions of the study, but it underscores the need for caution in interpreting the delivery setting association.</w:t>
      </w:r>
    </w:p>
    <w:p>
      <w:pPr>
        <w:spacing w:after="100" w:before="100" w:line="360"/>
        <w:jc w:val="both"/>
      </w:pPr>
      <w:r>
        <w:rPr>
          <w:rFonts w:ascii="Arial" w:cs="Arial" w:eastAsia="Arial" w:hAnsi="Arial"/>
          <w:sz w:val="24"/>
          <w:szCs w:val="24"/>
        </w:rPr>
        <w:t xml:space="preserve">Fifth, the proportional odds assumption of the POM was tested for all predictors. Where violations were detected, their implications for the interpretation of specific predictor ORs were described in Section 4.4.1. The consistency of findings from the count and binary logistic models — which do not rely on the proportional odds assumption — provides additional confidence that the direction and approximate magnitude of the key associations are correctly estimated by the POM even where the proportional odds assumption is imperfectly satisfied.</w:t>
      </w:r>
    </w:p>
    <w:p>
      <w:pPr>
        <w:spacing w:after="60" w:before="60"/>
      </w:pPr>
      <w:r>
        <w:t xml:space="preserve"/>
      </w:r>
    </w:p>
    <w:p>
      <w:r>
        <w:br w:type="page"/>
      </w:r>
    </w:p>
    <w:p>
      <w:pPr>
        <w:pStyle w:val="Heading1"/>
        <w:spacing w:after="180" w:before="360"/>
      </w:pPr>
      <w:r>
        <w:rPr>
          <w:rFonts w:ascii="Arial" w:cs="Arial" w:eastAsia="Arial" w:hAnsi="Arial"/>
          <w:b/>
          <w:bCs/>
          <w:color w:val="2E5FA3"/>
          <w:sz w:val="32"/>
          <w:szCs w:val="32"/>
        </w:rPr>
        <w:t xml:space="preserve">References</w:t>
      </w:r>
    </w:p>
    <w:p>
      <w:pPr>
        <w:spacing w:after="100" w:before="100" w:line="360"/>
        <w:jc w:val="both"/>
      </w:pPr>
      <w:r>
        <w:rPr>
          <w:rFonts w:ascii="Arial" w:cs="Arial" w:eastAsia="Arial" w:hAnsi="Arial"/>
          <w:sz w:val="24"/>
          <w:szCs w:val="24"/>
        </w:rPr>
        <w:t xml:space="preserve">Adeleke, K. A., &amp; Adepoju, A. A. (2010). Ordinal logistic regression model: An application to pregnancy outcomes. Journal of Mathematics and Statistics, 6(3), 279–285. https://doi.org/10.3844/jmssp.2010.279.285</w:t>
      </w:r>
    </w:p>
    <w:p>
      <w:pPr>
        <w:spacing w:after="60" w:before="60"/>
      </w:pPr>
      <w:r>
        <w:t xml:space="preserve"/>
      </w:r>
    </w:p>
    <w:p>
      <w:pPr>
        <w:spacing w:after="100" w:before="100" w:line="360"/>
        <w:jc w:val="both"/>
      </w:pPr>
      <w:r>
        <w:rPr>
          <w:rFonts w:ascii="Arial" w:cs="Arial" w:eastAsia="Arial" w:hAnsi="Arial"/>
          <w:sz w:val="24"/>
          <w:szCs w:val="24"/>
        </w:rPr>
        <w:t xml:space="preserve">Agresti, A. (2018). Statistical methods for the social sciences (5th ed.). Pearson Education.</w:t>
      </w:r>
    </w:p>
    <w:p>
      <w:pPr>
        <w:spacing w:after="60" w:before="60"/>
      </w:pPr>
      <w:r>
        <w:t xml:space="preserve"/>
      </w:r>
    </w:p>
    <w:p>
      <w:pPr>
        <w:spacing w:after="100" w:before="100" w:line="360"/>
        <w:jc w:val="both"/>
      </w:pPr>
      <w:r>
        <w:rPr>
          <w:rFonts w:ascii="Arial" w:cs="Arial" w:eastAsia="Arial" w:hAnsi="Arial"/>
          <w:sz w:val="24"/>
          <w:szCs w:val="24"/>
        </w:rPr>
        <w:t xml:space="preserve">Ananth, C. V., Misra, D. P., Demissie, K., &amp; Smulian, J. C. (1995). Influence of obstetric history on the risk of small for gestational age birth. Paediatric and Perinatal Epidemiology, 13(4), 447–462. https://doi.org/10.1046/j.1365-3016.1999.00210.x</w:t>
      </w:r>
    </w:p>
    <w:p>
      <w:pPr>
        <w:spacing w:after="60" w:before="60"/>
      </w:pPr>
      <w:r>
        <w:t xml:space="preserve"/>
      </w:r>
    </w:p>
    <w:p>
      <w:pPr>
        <w:spacing w:after="100" w:before="100" w:line="360"/>
        <w:jc w:val="both"/>
      </w:pPr>
      <w:r>
        <w:rPr>
          <w:rFonts w:ascii="Arial" w:cs="Arial" w:eastAsia="Arial" w:hAnsi="Arial"/>
          <w:sz w:val="24"/>
          <w:szCs w:val="24"/>
        </w:rPr>
        <w:t xml:space="preserve">Bongaarts, J. (1978). A framework for analyzing the proximate determinants of fertility. Population and Development Review, 4(1), 105–132. https://doi.org/10.2307/1972149</w:t>
      </w:r>
    </w:p>
    <w:p>
      <w:pPr>
        <w:spacing w:after="60" w:before="60"/>
      </w:pPr>
      <w:r>
        <w:t xml:space="preserve"/>
      </w:r>
    </w:p>
    <w:p>
      <w:pPr>
        <w:spacing w:after="100" w:before="100" w:line="360"/>
        <w:jc w:val="both"/>
      </w:pPr>
      <w:r>
        <w:rPr>
          <w:rFonts w:ascii="Arial" w:cs="Arial" w:eastAsia="Arial" w:hAnsi="Arial"/>
          <w:sz w:val="24"/>
          <w:szCs w:val="24"/>
        </w:rPr>
        <w:t xml:space="preserve">Bongaarts, J. (1998). Fertility and reproductive preferences in post-transitional societies. Population Council. https://doi.org/10.2307/2808041</w:t>
      </w:r>
    </w:p>
    <w:p>
      <w:pPr>
        <w:spacing w:after="60" w:before="60"/>
      </w:pPr>
      <w:r>
        <w:t xml:space="preserve"/>
      </w:r>
    </w:p>
    <w:p>
      <w:pPr>
        <w:spacing w:after="100" w:before="100" w:line="360"/>
        <w:jc w:val="both"/>
      </w:pPr>
      <w:r>
        <w:rPr>
          <w:rFonts w:ascii="Arial" w:cs="Arial" w:eastAsia="Arial" w:hAnsi="Arial"/>
          <w:sz w:val="24"/>
          <w:szCs w:val="24"/>
        </w:rPr>
        <w:t xml:space="preserve">Das, S., &amp; Rahman, R. M. (2011). Application of ordinal logistic regression analysis in determining risk factors of child malnutrition in Bangladesh. Nutrition Journal, 10(1), 124. https://doi.org/10.1186/1475-2891-10-124</w:t>
      </w:r>
    </w:p>
    <w:p>
      <w:pPr>
        <w:spacing w:after="60" w:before="60"/>
      </w:pPr>
      <w:r>
        <w:t xml:space="preserve"/>
      </w:r>
    </w:p>
    <w:p>
      <w:pPr>
        <w:spacing w:after="100" w:before="100" w:line="360"/>
        <w:jc w:val="both"/>
      </w:pPr>
      <w:r>
        <w:rPr>
          <w:rFonts w:ascii="Arial" w:cs="Arial" w:eastAsia="Arial" w:hAnsi="Arial"/>
          <w:sz w:val="24"/>
          <w:szCs w:val="24"/>
        </w:rPr>
        <w:t xml:space="preserve">Department of Census and Statistics Sri Lanka (DCS). (2002). Sri Lanka Demographic and Health Survey 2000. Department of Census and Statistics. https://www.statistics.gov.lk/Resource/en/Social/DHS/SLDHS2000.pdf</w:t>
      </w:r>
    </w:p>
    <w:p>
      <w:pPr>
        <w:spacing w:after="60" w:before="60"/>
      </w:pPr>
      <w:r>
        <w:t xml:space="preserve"/>
      </w:r>
    </w:p>
    <w:p>
      <w:pPr>
        <w:spacing w:after="100" w:before="100" w:line="360"/>
        <w:jc w:val="both"/>
      </w:pPr>
      <w:r>
        <w:rPr>
          <w:rFonts w:ascii="Arial" w:cs="Arial" w:eastAsia="Arial" w:hAnsi="Arial"/>
          <w:sz w:val="24"/>
          <w:szCs w:val="24"/>
        </w:rPr>
        <w:t xml:space="preserve">Hosmer, D. W., Lemeshow, S., &amp; Sturdivant, R. X. (2013). Applied logistic regression (3rd ed.). Wiley. https://doi.org/10.1002/9781118548387</w:t>
      </w:r>
    </w:p>
    <w:p>
      <w:pPr>
        <w:spacing w:after="60" w:before="60"/>
      </w:pPr>
      <w:r>
        <w:t xml:space="preserve"/>
      </w:r>
    </w:p>
    <w:p>
      <w:pPr>
        <w:spacing w:after="100" w:before="100" w:line="360"/>
        <w:jc w:val="both"/>
      </w:pPr>
      <w:r>
        <w:rPr>
          <w:rFonts w:ascii="Arial" w:cs="Arial" w:eastAsia="Arial" w:hAnsi="Arial"/>
          <w:sz w:val="24"/>
          <w:szCs w:val="24"/>
        </w:rPr>
        <w:t xml:space="preserve">Ministry of Health Sri Lanka. (2000). Annual Health Bulletin 2000. Ministry of Health. https://www.health.gov.lk/moh_final/english/others.php?pid=71</w:t>
      </w:r>
    </w:p>
    <w:p>
      <w:pPr>
        <w:spacing w:after="60" w:before="60"/>
      </w:pPr>
      <w:r>
        <w:t xml:space="preserve"/>
      </w:r>
    </w:p>
    <w:p>
      <w:pPr>
        <w:spacing w:after="100" w:before="100" w:line="360"/>
        <w:jc w:val="both"/>
      </w:pPr>
      <w:r>
        <w:rPr>
          <w:rFonts w:ascii="Arial" w:cs="Arial" w:eastAsia="Arial" w:hAnsi="Arial"/>
          <w:sz w:val="24"/>
          <w:szCs w:val="24"/>
        </w:rPr>
        <w:t xml:space="preserve">Nugussu, G., Abdisa, J., &amp; Bedada, D. (2022). Statistical analysis of regional variation and factors associated with birth weight of babies in Ethiopia: Multilevel ordinal logistic regression. Global Journal of Fertility Research, 7(1), 001–015. https://doi.org/10.17352/gjfr.000035</w:t>
      </w:r>
    </w:p>
    <w:p>
      <w:pPr>
        <w:spacing w:after="60" w:before="60"/>
      </w:pPr>
      <w:r>
        <w:t xml:space="preserve"/>
      </w:r>
    </w:p>
    <w:p>
      <w:pPr>
        <w:spacing w:after="100" w:before="100" w:line="360"/>
        <w:jc w:val="both"/>
      </w:pPr>
      <w:r>
        <w:rPr>
          <w:rFonts w:ascii="Arial" w:cs="Arial" w:eastAsia="Arial" w:hAnsi="Arial"/>
          <w:sz w:val="24"/>
          <w:szCs w:val="24"/>
        </w:rPr>
        <w:t xml:space="preserve">Rutstein, S. O., &amp; Rojas, G. (2006). Guide to DHS statistics (DHS-IV). ORC Macro. https://www.dhsprogram.com/pubs/pdf/DHSG1/Guide_to_DHS_Statistics_29Oct2012_DHSG1.pdf</w:t>
      </w:r>
    </w:p>
    <w:p>
      <w:pPr>
        <w:spacing w:after="60" w:before="60"/>
      </w:pPr>
      <w:r>
        <w:t xml:space="preserve"/>
      </w:r>
    </w:p>
    <w:p>
      <w:pPr>
        <w:spacing w:after="100" w:before="100" w:line="360"/>
        <w:jc w:val="both"/>
      </w:pPr>
      <w:r>
        <w:rPr>
          <w:rFonts w:ascii="Arial" w:cs="Arial" w:eastAsia="Arial" w:hAnsi="Arial"/>
          <w:sz w:val="24"/>
          <w:szCs w:val="24"/>
        </w:rPr>
        <w:t xml:space="preserve">Schoumaker, B. (2004). Poverty and fertility in sub-Saharan Africa: Evidence from 25 countries [Working Paper]. Universite catholique de Louvain. https://doi.org/10.13140/RG.2.1.4288.7767</w:t>
      </w:r>
    </w:p>
    <w:p>
      <w:pPr>
        <w:spacing w:after="60" w:before="60"/>
      </w:pPr>
      <w:r>
        <w:t xml:space="preserve"/>
      </w:r>
    </w:p>
    <w:p>
      <w:pPr>
        <w:spacing w:after="100" w:before="100" w:line="360"/>
        <w:jc w:val="both"/>
      </w:pPr>
      <w:r>
        <w:rPr>
          <w:rFonts w:ascii="Arial" w:cs="Arial" w:eastAsia="Arial" w:hAnsi="Arial"/>
          <w:sz w:val="24"/>
          <w:szCs w:val="24"/>
        </w:rPr>
        <w:t xml:space="preserve">Wang, W., &amp; Famoye, F. (1997). Modeling household fertility decisions with generalized Poisson regression. Journal of Population Economics, 10(3), 273–283. https://doi.org/10.1007/s001480050042</w:t>
      </w:r>
    </w:p>
    <w:p>
      <w:pPr>
        <w:spacing w:after="60" w:before="60"/>
      </w:pPr>
      <w:r>
        <w:t xml:space="preserve"/>
      </w:r>
    </w:p>
    <w:p>
      <w:pPr>
        <w:spacing w:after="100" w:before="100" w:line="360"/>
        <w:jc w:val="both"/>
      </w:pPr>
      <w:r>
        <w:rPr>
          <w:rFonts w:ascii="Arial" w:cs="Arial" w:eastAsia="Arial" w:hAnsi="Arial"/>
          <w:sz w:val="24"/>
          <w:szCs w:val="24"/>
        </w:rPr>
        <w:t xml:space="preserve">World Health Organization. (2020). Adolescent pregnancy (Fact Sheet). WHO. https://www.who.int/news-room/fact-sheets/detail/adolescent-pregnancy</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jc w:val="right"/>
    </w:pPr>
    <w:r>
      <w:rPr>
        <w:rFonts w:ascii="Arial" w:cs="Arial" w:eastAsia="Arial" w:hAnsi="Arial"/>
        <w:color w:val="666666"/>
        <w:sz w:val="18"/>
        <w:szCs w:val="18"/>
      </w:rPr>
      <w:t xml:space="preserve">Chapter Four: Results and Discussion | Sri Lanka CRVS Parity Study, 2000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2026-04-25T02:06:44.891Z</dcterms:created>
  <dcterms:modified xsi:type="dcterms:W3CDTF">2026-04-25T02:06:44.892Z</dcterms:modified>
</cp:coreProperties>
</file>

<file path=docProps/custom.xml><?xml version="1.0" encoding="utf-8"?>
<Properties xmlns="http://schemas.openxmlformats.org/officeDocument/2006/custom-properties" xmlns:vt="http://schemas.openxmlformats.org/officeDocument/2006/docPropsVTypes"/>
</file>