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May 01,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301,691</w:t>
        <w:br/>
        <w:t xml:space="preserve">    • Missing Birth Weight Records: 33,541 (11.12%)</w:t>
        <w:br/>
        <w:t xml:space="preserve">    • Complete Records: 268,150 (88.88%)</w:t>
        <w:br/>
        <w:t xml:space="preserve">    • Number of Districts Analyzed: 25</w:t>
        <w:br/>
        <w:t xml:space="preserve">    • Number of Ethnic Groups Identified: 6</w:t>
        <w:br/>
        <w:t xml:space="preserve">    </w:t>
      </w:r>
    </w:p>
    <w:p>
      <w:pPr>
        <w:pStyle w:val="Heading2"/>
      </w:pPr>
      <w:r>
        <w:t>Data Completeness Overview</w:t>
      </w:r>
    </w:p>
    <w:p>
      <w:r>
        <w:drawing>
          <wp:inline xmlns:a="http://schemas.openxmlformats.org/drawingml/2006/main" xmlns:pic="http://schemas.openxmlformats.org/drawingml/2006/picture">
            <wp:extent cx="4572000" cy="4841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complete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4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Overall birth weight data completeness.</w:t>
      </w:r>
    </w:p>
    <w:p/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Weight Analysis</w:t>
      </w:r>
    </w:p>
    <w:p>
      <w:pPr>
        <w:pStyle w:val="Heading2"/>
      </w:pPr>
      <w:r>
        <w:t>Top Districts with Highest Missing Rates</w:t>
      </w:r>
    </w:p>
    <w:p>
      <w:r>
        <w:drawing>
          <wp:inline xmlns:a="http://schemas.openxmlformats.org/drawingml/2006/main" xmlns:pic="http://schemas.openxmlformats.org/drawingml/2006/picture">
            <wp:extent cx="5486400" cy="31176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op_districts_miss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7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Top 15 districts with highest missing birth weight rates.</w:t>
      </w:r>
    </w:p>
    <w:p/>
    <w:p>
      <w:pPr>
        <w:pStyle w:val="Heading2"/>
      </w:pPr>
      <w:r>
        <w:t>Distribution of Missing Rates</w:t>
      </w:r>
    </w:p>
    <w:p>
      <w:r>
        <w:drawing>
          <wp:inline xmlns:a="http://schemas.openxmlformats.org/drawingml/2006/main" xmlns:pic="http://schemas.openxmlformats.org/drawingml/2006/picture">
            <wp:extent cx="5486400" cy="2717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tric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Distribution of missing birth weight rates across all districts.</w:t>
      </w:r>
    </w:p>
    <w:p/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9,566</w:t>
            </w:r>
          </w:p>
        </w:tc>
        <w:tc>
          <w:tcPr>
            <w:tcW w:type="dxa" w:w="2340"/>
          </w:tcPr>
          <w:p>
            <w:r>
              <w:t>7,651</w:t>
            </w:r>
          </w:p>
        </w:tc>
        <w:tc>
          <w:tcPr>
            <w:tcW w:type="dxa" w:w="2340"/>
          </w:tcPr>
          <w:p>
            <w:r>
              <w:t>79.98%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14,527</w:t>
            </w:r>
          </w:p>
        </w:tc>
        <w:tc>
          <w:tcPr>
            <w:tcW w:type="dxa" w:w="2340"/>
          </w:tcPr>
          <w:p>
            <w:r>
              <w:t>6,039</w:t>
            </w:r>
          </w:p>
        </w:tc>
        <w:tc>
          <w:tcPr>
            <w:tcW w:type="dxa" w:w="2340"/>
          </w:tcPr>
          <w:p>
            <w:r>
              <w:t>41.57%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3,743</w:t>
            </w:r>
          </w:p>
        </w:tc>
        <w:tc>
          <w:tcPr>
            <w:tcW w:type="dxa" w:w="2340"/>
          </w:tcPr>
          <w:p>
            <w:r>
              <w:t>509</w:t>
            </w:r>
          </w:p>
        </w:tc>
        <w:tc>
          <w:tcPr>
            <w:tcW w:type="dxa" w:w="2340"/>
          </w:tcPr>
          <w:p>
            <w:r>
              <w:t>13.60%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19,262</w:t>
            </w:r>
          </w:p>
        </w:tc>
        <w:tc>
          <w:tcPr>
            <w:tcW w:type="dxa" w:w="2340"/>
          </w:tcPr>
          <w:p>
            <w:r>
              <w:t>2,378</w:t>
            </w:r>
          </w:p>
        </w:tc>
        <w:tc>
          <w:tcPr>
            <w:tcW w:type="dxa" w:w="2340"/>
          </w:tcPr>
          <w:p>
            <w:r>
              <w:t>12.35%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42,699</w:t>
            </w:r>
          </w:p>
        </w:tc>
        <w:tc>
          <w:tcPr>
            <w:tcW w:type="dxa" w:w="2340"/>
          </w:tcPr>
          <w:p>
            <w:r>
              <w:t>5,242</w:t>
            </w:r>
          </w:p>
        </w:tc>
        <w:tc>
          <w:tcPr>
            <w:tcW w:type="dxa" w:w="2340"/>
          </w:tcPr>
          <w:p>
            <w:r>
              <w:t>12.28%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903</w:t>
            </w:r>
          </w:p>
        </w:tc>
        <w:tc>
          <w:tcPr>
            <w:tcW w:type="dxa" w:w="2340"/>
          </w:tcPr>
          <w:p>
            <w:r>
              <w:t>97</w:t>
            </w:r>
          </w:p>
        </w:tc>
        <w:tc>
          <w:tcPr>
            <w:tcW w:type="dxa" w:w="2340"/>
          </w:tcPr>
          <w:p>
            <w:r>
              <w:t>10.74%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8,495</w:t>
            </w:r>
          </w:p>
        </w:tc>
        <w:tc>
          <w:tcPr>
            <w:tcW w:type="dxa" w:w="2340"/>
          </w:tcPr>
          <w:p>
            <w:r>
              <w:t>841</w:t>
            </w:r>
          </w:p>
        </w:tc>
        <w:tc>
          <w:tcPr>
            <w:tcW w:type="dxa" w:w="2340"/>
          </w:tcPr>
          <w:p>
            <w:r>
              <w:t>9.90%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6,559</w:t>
            </w:r>
          </w:p>
        </w:tc>
        <w:tc>
          <w:tcPr>
            <w:tcW w:type="dxa" w:w="2340"/>
          </w:tcPr>
          <w:p>
            <w:r>
              <w:t>638</w:t>
            </w:r>
          </w:p>
        </w:tc>
        <w:tc>
          <w:tcPr>
            <w:tcW w:type="dxa" w:w="2340"/>
          </w:tcPr>
          <w:p>
            <w:r>
              <w:t>9.73%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9,704</w:t>
            </w:r>
          </w:p>
        </w:tc>
        <w:tc>
          <w:tcPr>
            <w:tcW w:type="dxa" w:w="2340"/>
          </w:tcPr>
          <w:p>
            <w:r>
              <w:t>894</w:t>
            </w:r>
          </w:p>
        </w:tc>
        <w:tc>
          <w:tcPr>
            <w:tcW w:type="dxa" w:w="2340"/>
          </w:tcPr>
          <w:p>
            <w:r>
              <w:t>9.21%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8,443</w:t>
            </w:r>
          </w:p>
        </w:tc>
        <w:tc>
          <w:tcPr>
            <w:tcW w:type="dxa" w:w="2340"/>
          </w:tcPr>
          <w:p>
            <w:r>
              <w:t>730</w:t>
            </w:r>
          </w:p>
        </w:tc>
        <w:tc>
          <w:tcPr>
            <w:tcW w:type="dxa" w:w="2340"/>
          </w:tcPr>
          <w:p>
            <w:r>
              <w:t>8.65%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12,344</w:t>
            </w:r>
          </w:p>
        </w:tc>
        <w:tc>
          <w:tcPr>
            <w:tcW w:type="dxa" w:w="2340"/>
          </w:tcPr>
          <w:p>
            <w:r>
              <w:t>1,043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Anuradhapura</w:t>
            </w:r>
          </w:p>
        </w:tc>
        <w:tc>
          <w:tcPr>
            <w:tcW w:type="dxa" w:w="2340"/>
          </w:tcPr>
          <w:p>
            <w:r>
              <w:t>14,129</w:t>
            </w:r>
          </w:p>
        </w:tc>
        <w:tc>
          <w:tcPr>
            <w:tcW w:type="dxa" w:w="2340"/>
          </w:tcPr>
          <w:p>
            <w:r>
              <w:t>948</w:t>
            </w:r>
          </w:p>
        </w:tc>
        <w:tc>
          <w:tcPr>
            <w:tcW w:type="dxa" w:w="2340"/>
          </w:tcPr>
          <w:p>
            <w:r>
              <w:t>6.71%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11,662</w:t>
            </w:r>
          </w:p>
        </w:tc>
        <w:tc>
          <w:tcPr>
            <w:tcW w:type="dxa" w:w="2340"/>
          </w:tcPr>
          <w:p>
            <w:r>
              <w:t>772</w:t>
            </w:r>
          </w:p>
        </w:tc>
        <w:tc>
          <w:tcPr>
            <w:tcW w:type="dxa" w:w="2340"/>
          </w:tcPr>
          <w:p>
            <w:r>
              <w:t>6.62%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24,366</w:t>
            </w:r>
          </w:p>
        </w:tc>
        <w:tc>
          <w:tcPr>
            <w:tcW w:type="dxa" w:w="2340"/>
          </w:tcPr>
          <w:p>
            <w:r>
              <w:t>1,404</w:t>
            </w:r>
          </w:p>
        </w:tc>
        <w:tc>
          <w:tcPr>
            <w:tcW w:type="dxa" w:w="2340"/>
          </w:tcPr>
          <w:p>
            <w:r>
              <w:t>5.76%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20,741</w:t>
            </w:r>
          </w:p>
        </w:tc>
        <w:tc>
          <w:tcPr>
            <w:tcW w:type="dxa" w:w="2340"/>
          </w:tcPr>
          <w:p>
            <w:r>
              <w:t>1,188</w:t>
            </w:r>
          </w:p>
        </w:tc>
        <w:tc>
          <w:tcPr>
            <w:tcW w:type="dxa" w:w="2340"/>
          </w:tcPr>
          <w:p>
            <w:r>
              <w:t>5.73%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8,298</w:t>
            </w:r>
          </w:p>
        </w:tc>
        <w:tc>
          <w:tcPr>
            <w:tcW w:type="dxa" w:w="2340"/>
          </w:tcPr>
          <w:p>
            <w:r>
              <w:t>471</w:t>
            </w:r>
          </w:p>
        </w:tc>
        <w:tc>
          <w:tcPr>
            <w:tcW w:type="dxa" w:w="2340"/>
          </w:tcPr>
          <w:p>
            <w:r>
              <w:t>5.68%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7,735</w:t>
            </w:r>
          </w:p>
        </w:tc>
        <w:tc>
          <w:tcPr>
            <w:tcW w:type="dxa" w:w="2340"/>
          </w:tcPr>
          <w:p>
            <w:r>
              <w:t>414</w:t>
            </w:r>
          </w:p>
        </w:tc>
        <w:tc>
          <w:tcPr>
            <w:tcW w:type="dxa" w:w="2340"/>
          </w:tcPr>
          <w:p>
            <w:r>
              <w:t>5.35%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17,178</w:t>
            </w:r>
          </w:p>
        </w:tc>
        <w:tc>
          <w:tcPr>
            <w:tcW w:type="dxa" w:w="2340"/>
          </w:tcPr>
          <w:p>
            <w:r>
              <w:t>918</w:t>
            </w:r>
          </w:p>
        </w:tc>
        <w:tc>
          <w:tcPr>
            <w:tcW w:type="dxa" w:w="2340"/>
          </w:tcPr>
          <w:p>
            <w:r>
              <w:t>5.34%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8,800</w:t>
            </w:r>
          </w:p>
        </w:tc>
        <w:tc>
          <w:tcPr>
            <w:tcW w:type="dxa" w:w="2340"/>
          </w:tcPr>
          <w:p>
            <w:r>
              <w:t>359</w:t>
            </w:r>
          </w:p>
        </w:tc>
        <w:tc>
          <w:tcPr>
            <w:tcW w:type="dxa" w:w="2340"/>
          </w:tcPr>
          <w:p>
            <w:r>
              <w:t>4.08%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9,883</w:t>
            </w:r>
          </w:p>
        </w:tc>
        <w:tc>
          <w:tcPr>
            <w:tcW w:type="dxa" w:w="2340"/>
          </w:tcPr>
          <w:p>
            <w:r>
              <w:t>261</w:t>
            </w:r>
          </w:p>
        </w:tc>
        <w:tc>
          <w:tcPr>
            <w:tcW w:type="dxa" w:w="2340"/>
          </w:tcPr>
          <w:p>
            <w:r>
              <w:t>2.64%</w:t>
            </w:r>
          </w:p>
        </w:tc>
      </w:tr>
    </w:tbl>
    <w:p>
      <w:pPr>
        <w:pStyle w:val="Heading2"/>
      </w:pPr>
      <w:r>
        <w:t>Relationship Between Total Births and Missing Records</w:t>
      </w:r>
    </w:p>
    <w:p>
      <w:r>
        <w:drawing>
          <wp:inline xmlns:a="http://schemas.openxmlformats.org/drawingml/2006/main" xmlns:pic="http://schemas.openxmlformats.org/drawingml/2006/picture">
            <wp:extent cx="5486400" cy="3950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atter_missing_vs_to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Scatter plot showing relationship between total births and missing records.</w:t>
      </w:r>
    </w:p>
    <w:p>
      <w:r>
        <w:br w:type="page"/>
      </w:r>
    </w:p>
    <w:p>
      <w:pPr>
        <w:pStyle w:val="Heading1"/>
      </w:pPr>
      <w:r>
        <w:t>4. Ethnicity-Specific Analysis</w:t>
      </w:r>
    </w:p>
    <w:p>
      <w:pPr>
        <w:pStyle w:val="Heading2"/>
      </w:pPr>
      <w:r>
        <w:t>Missing Rates by Ethnicity</w:t>
      </w:r>
    </w:p>
    <w:p>
      <w:r>
        <w:drawing>
          <wp:inline xmlns:a="http://schemas.openxmlformats.org/drawingml/2006/main" xmlns:pic="http://schemas.openxmlformats.org/drawingml/2006/picture">
            <wp:extent cx="5486400" cy="36468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thnicity_missing_r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6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Missing birth weight rates by ethnicity (IUPAC codes shown).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7987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issing_distribution_don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98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6: Distribution of missing records across ethnic groups.</w:t>
      </w:r>
    </w:p>
    <w:p/>
    <w:p>
      <w:pPr>
        <w:pStyle w:val="Heading2"/>
      </w:pPr>
      <w:r>
        <w:t>Variability in Missing Rates by Ethnicity</w:t>
      </w:r>
    </w:p>
    <w:p>
      <w:r>
        <w:drawing>
          <wp:inline xmlns:a="http://schemas.openxmlformats.org/drawingml/2006/main" xmlns:pic="http://schemas.openxmlformats.org/drawingml/2006/picture">
            <wp:extent cx="5486400" cy="27140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thnicity_box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7: Box plot showing distribution of missing rates across districts for each ethnicity.</w:t>
      </w:r>
    </w:p>
    <w:p/>
    <w:p>
      <w:pPr>
        <w:pStyle w:val="Heading2"/>
      </w:pPr>
      <w:r>
        <w:t>4.1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IUPAC Code</w:t>
            </w:r>
          </w:p>
        </w:tc>
        <w:tc>
          <w:tcPr>
            <w:tcW w:type="dxa" w:w="1872"/>
          </w:tcPr>
          <w:p>
            <w:r>
              <w:t>Ethnicity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Records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</w:tr>
      <w:tr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35,928</w:t>
            </w:r>
          </w:p>
        </w:tc>
        <w:tc>
          <w:tcPr>
            <w:tcW w:type="dxa" w:w="1872"/>
          </w:tcPr>
          <w:p>
            <w:r>
              <w:t>9,248</w:t>
            </w:r>
          </w:p>
        </w:tc>
        <w:tc>
          <w:tcPr>
            <w:tcW w:type="dxa" w:w="1872"/>
          </w:tcPr>
          <w:p>
            <w:r>
              <w:t>25.74%</w:t>
            </w:r>
          </w:p>
        </w:tc>
      </w:tr>
      <w:tr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406</w:t>
            </w:r>
          </w:p>
        </w:tc>
        <w:tc>
          <w:tcPr>
            <w:tcW w:type="dxa" w:w="1872"/>
          </w:tcPr>
          <w:p>
            <w:r>
              <w:t>93</w:t>
            </w:r>
          </w:p>
        </w:tc>
        <w:tc>
          <w:tcPr>
            <w:tcW w:type="dxa" w:w="1872"/>
          </w:tcPr>
          <w:p>
            <w:r>
              <w:t>22.91%</w:t>
            </w:r>
          </w:p>
        </w:tc>
      </w:tr>
      <w:tr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41,678</w:t>
            </w:r>
          </w:p>
        </w:tc>
        <w:tc>
          <w:tcPr>
            <w:tcW w:type="dxa" w:w="1872"/>
          </w:tcPr>
          <w:p>
            <w:r>
              <w:t>8,455</w:t>
            </w:r>
          </w:p>
        </w:tc>
        <w:tc>
          <w:tcPr>
            <w:tcW w:type="dxa" w:w="1872"/>
          </w:tcPr>
          <w:p>
            <w:r>
              <w:t>20.29%</w:t>
            </w:r>
          </w:p>
        </w:tc>
      </w:tr>
      <w:tr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14,336</w:t>
            </w:r>
          </w:p>
        </w:tc>
        <w:tc>
          <w:tcPr>
            <w:tcW w:type="dxa" w:w="1872"/>
          </w:tcPr>
          <w:p>
            <w:r>
              <w:t>1,970</w:t>
            </w:r>
          </w:p>
        </w:tc>
        <w:tc>
          <w:tcPr>
            <w:tcW w:type="dxa" w:w="1872"/>
          </w:tcPr>
          <w:p>
            <w:r>
              <w:t>13.74%</w:t>
            </w:r>
          </w:p>
        </w:tc>
      </w:tr>
      <w:tr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443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10.16%</w:t>
            </w:r>
          </w:p>
        </w:tc>
      </w:tr>
      <w:tr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208,395</w:t>
            </w:r>
          </w:p>
        </w:tc>
        <w:tc>
          <w:tcPr>
            <w:tcW w:type="dxa" w:w="1872"/>
          </w:tcPr>
          <w:p>
            <w:r>
              <w:t>13,642</w:t>
            </w:r>
          </w:p>
        </w:tc>
        <w:tc>
          <w:tcPr>
            <w:tcW w:type="dxa" w:w="1872"/>
          </w:tcPr>
          <w:p>
            <w:r>
              <w:t>6.55%</w:t>
            </w:r>
          </w:p>
        </w:tc>
      </w:tr>
    </w:tbl>
    <w:p>
      <w:pPr>
        <w:pStyle w:val="Heading2"/>
      </w:pPr>
      <w:r>
        <w:t>4.2 District-Ethnicity Interaction Analysis</w:t>
      </w:r>
    </w:p>
    <w:p>
      <w:r>
        <w:drawing>
          <wp:inline xmlns:a="http://schemas.openxmlformats.org/drawingml/2006/main" xmlns:pic="http://schemas.openxmlformats.org/drawingml/2006/picture">
            <wp:extent cx="6400800" cy="4893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strict_ethnicity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9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8: Heatmap showing missing rates by district and ethnicity.</w:t>
      </w:r>
    </w:p>
    <w:p>
      <w:r>
        <w:br w:type="page"/>
      </w:r>
    </w:p>
    <w:p>
      <w:pPr>
        <w:pStyle w:val="Heading1"/>
      </w:pPr>
      <w:r>
        <w:t>5. Conclusions and Recommendations</w:t>
      </w:r>
    </w:p>
    <w:p>
      <w:r>
        <w:br/>
        <w:t xml:space="preserve">    5.1 Key Findings</w:t>
        <w:br/>
        <w:br/>
        <w:t xml:space="preserve">    • Data Completeness: 88.88% of birth records have complete birth weight data,</w:t>
        <w:br/>
        <w:t xml:space="preserve">      indicating 11.12% of records require data quality improvement.</w:t>
        <w:br/>
        <w:br/>
        <w:t xml:space="preserve">    • Geographic Disparities: Batticaloa shows the highest missing rate at </w:t>
        <w:br/>
        <w:t xml:space="preserve">      79.98%, suggesting potential data collection challenges in this region.</w:t>
        <w:br/>
        <w:br/>
        <w:t xml:space="preserve">    • Ethnic Disparities: Srilankan Tamil (TAM_SL) has the highest </w:t>
        <w:br/>
        <w:t xml:space="preserve">      missing rate at 25.74%, indicating potential systematic bias in data </w:t>
        <w:br/>
        <w:t xml:space="preserve">      collection across ethnic groups.</w:t>
        <w:br/>
        <w:br/>
        <w:t xml:space="preserve">    5.2 Recommendations</w:t>
        <w:br/>
        <w:br/>
        <w:t xml:space="preserve">    1. Standardize Data Collection Protocols: Implement uniform birth weight recording procedures across all districts,</w:t>
        <w:br/>
        <w:t xml:space="preserve">       particularly in high-missing-rate regions.</w:t>
        <w:br/>
        <w:br/>
        <w:t xml:space="preserve">    2. Ethnicity-Specific Interventions: Develop targeted data quality improvement programs for ethnic groups </w:t>
        <w:br/>
        <w:t xml:space="preserve">       with high missing rates, respecting cultural and linguistic sensitivities.</w:t>
        <w:br/>
        <w:br/>
        <w:t xml:space="preserve">    3. IUPAC Compliance: Maintain adherence to IUPAC ethnic nomenclature standards to ensure international </w:t>
        <w:br/>
        <w:t xml:space="preserve">       comparability and scientific rigor.</w:t>
        <w:br/>
        <w:br/>
        <w:t xml:space="preserve">    4. Regular Monitoring: Establish quarterly data quality monitoring systems to track improvements in </w:t>
        <w:br/>
        <w:t xml:space="preserve">       missing birth weight rates by district and ethnicity.</w:t>
        <w:br/>
        <w:br/>
        <w:t xml:space="preserve">    5. Capacity Building: Provide training for healthcare workers on the importance of complete birth weight </w:t>
        <w:br/>
        <w:t xml:space="preserve">       documentation, especially in districts with high missing rates.</w:t>
        <w:br/>
        <w:t xml:space="preserve">   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