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Missing Data Analysis Report</w:t>
      </w:r>
    </w:p>
    <w:p>
      <w:pPr>
        <w:jc w:val="center"/>
      </w:pPr>
      <w:r>
        <w:rPr>
          <w:rFonts w:ascii="Calibri" w:hAnsi="Calibri"/>
          <w:b w:val="0"/>
          <w:i/>
          <w:sz w:val="28"/>
        </w:rPr>
        <w:t>Sri Lanka Civil Registration and Vital Statistics (CRVS)</w:t>
      </w:r>
    </w:p>
    <w:p>
      <w:pPr>
        <w:jc w:val="center"/>
      </w:pPr>
      <w:r>
        <w:rPr>
          <w:rFonts w:ascii="Calibri" w:hAnsi="Calibri"/>
          <w:b w:val="0"/>
          <w:i/>
          <w:sz w:val="24"/>
        </w:rPr>
        <w:t>Birth Registration Study — Parity and Its Determinants</w:t>
      </w:r>
    </w:p>
    <w:p/>
    <w:p>
      <w:pPr>
        <w:pBdr>
          <w:bottom w:val="single" w:sz="6" w:space="1" w:color="999999"/>
        </w:pBdr>
      </w:pPr>
    </w:p>
    <w:p>
      <w:pPr>
        <w:jc w:val="center"/>
      </w:pPr>
      <w:r>
        <w:rPr>
          <w:rFonts w:ascii="Calibri" w:hAnsi="Calibri"/>
          <w:b w:val="0"/>
          <w:i w:val="0"/>
          <w:sz w:val="20"/>
        </w:rPr>
        <w:t>Generated: 28 April 2026, 13:07</w:t>
      </w:r>
    </w:p>
    <w:p>
      <w:pPr>
        <w:jc w:val="center"/>
      </w:pPr>
      <w:r>
        <w:rPr>
          <w:rFonts w:ascii="Calibri" w:hAnsi="Calibri"/>
          <w:b w:val="0"/>
          <w:i w:val="0"/>
          <w:sz w:val="20"/>
        </w:rPr>
        <w:t>Methodology reference: Section 3.4.2 (Rubin, 1976; Little &amp; Rubin, 2002)</w:t>
      </w:r>
    </w:p>
    <w:p>
      <w:r>
        <w:br w:type="page"/>
      </w:r>
    </w:p>
    <w:p>
      <w:pPr>
        <w:pStyle w:val="Heading1"/>
      </w:pPr>
      <w:r>
        <w:rPr>
          <w:rFonts w:ascii="Calibri" w:hAnsi="Calibri"/>
          <w:color w:val="1F3A5F"/>
          <w:sz w:val="30"/>
        </w:rPr>
        <w:t>1. Executive Summary</w:t>
      </w:r>
    </w:p>
    <w:p>
      <w:pPr>
        <w:jc w:val="both"/>
      </w:pPr>
      <w:r>
        <w:rPr>
          <w:rFonts w:ascii="Calibri" w:hAnsi="Calibri"/>
          <w:b w:val="0"/>
          <w:i w:val="0"/>
          <w:sz w:val="22"/>
        </w:rPr>
        <w:t>The raw CRVS dataset contained 301,712 birth records across 0 analytical variables. After applying listwise deletion to the regression-relevant variable set, 274,009 records were retained and 27,703 were dropped (9.18% of the original sample).</w:t>
      </w:r>
    </w:p>
    <w:p>
      <w:pPr>
        <w:pStyle w:val="Heading1"/>
      </w:pPr>
      <w:r>
        <w:rPr>
          <w:rFonts w:ascii="Calibri" w:hAnsi="Calibri"/>
          <w:color w:val="1F3A5F"/>
          <w:sz w:val="30"/>
        </w:rPr>
        <w:t>2. Methodological Framework</w:t>
      </w:r>
    </w:p>
    <w:p>
      <w:pPr>
        <w:jc w:val="both"/>
      </w:pPr>
      <w:r>
        <w:rPr>
          <w:rFonts w:ascii="Calibri" w:hAnsi="Calibri"/>
          <w:b w:val="0"/>
          <w:i w:val="0"/>
          <w:sz w:val="22"/>
        </w:rPr>
        <w:t>Missing data are classified per Rubin's (1976) typology into three mechanisms: Missing Completely At Random (MCAR), Missing At Random (MAR), and Missing Not At Random (MNAR). The methodology adopted listwise deletion as the primary approach, justified by the very large sample size of the CRVS dataset and the relatively low expected missingness rate for most variables. This approach is consistent with practice in large-scale demographic studies (Rutstein &amp; Rojas, 2006; Sterne et al., 2009).</w:t>
      </w:r>
    </w:p>
    <w:p>
      <w:pPr>
        <w:pStyle w:val="Heading2"/>
      </w:pPr>
      <w:r>
        <w:rPr>
          <w:rFonts w:ascii="Calibri" w:hAnsi="Calibri"/>
          <w:color w:val="1F3A5F"/>
          <w:sz w:val="26"/>
        </w:rPr>
        <w:t>2.1 Missingness Severity Bands</w:t>
      </w:r>
    </w:p>
    <w:p>
      <w:r>
        <w:rPr>
          <w:rFonts w:ascii="Calibri" w:hAnsi="Calibri"/>
          <w:b w:val="0"/>
          <w:i w:val="0"/>
          <w:sz w:val="22"/>
        </w:rPr>
        <w:t>Following Sterne et al. (2009), missingness was classified as:</w:t>
      </w:r>
    </w:p>
    <w:p>
      <w:pPr>
        <w:pStyle w:val="ListBullet"/>
      </w:pPr>
      <w:r>
        <w:rPr>
          <w:rFonts w:ascii="Calibri" w:hAnsi="Calibri"/>
          <w:sz w:val="22"/>
        </w:rPr>
        <w:t>Low: &lt; 5% — listwise deletion safe.</w:t>
      </w:r>
    </w:p>
    <w:p>
      <w:pPr>
        <w:pStyle w:val="ListBullet"/>
      </w:pPr>
      <w:r>
        <w:rPr>
          <w:rFonts w:ascii="Calibri" w:hAnsi="Calibri"/>
          <w:sz w:val="22"/>
        </w:rPr>
        <w:t>Moderate: 5–15% — examine pattern.</w:t>
      </w:r>
    </w:p>
    <w:p>
      <w:pPr>
        <w:pStyle w:val="ListBullet"/>
      </w:pPr>
      <w:r>
        <w:rPr>
          <w:rFonts w:ascii="Calibri" w:hAnsi="Calibri"/>
          <w:sz w:val="22"/>
        </w:rPr>
        <w:t>High: 15–30% — careful examination required.</w:t>
      </w:r>
    </w:p>
    <w:p>
      <w:pPr>
        <w:pStyle w:val="ListBullet"/>
      </w:pPr>
      <w:r>
        <w:rPr>
          <w:rFonts w:ascii="Calibri" w:hAnsi="Calibri"/>
          <w:sz w:val="22"/>
        </w:rPr>
        <w:t>Very high: &gt; 30% — sensitivity analysis required.</w:t>
      </w:r>
    </w:p>
    <w:p>
      <w:pPr>
        <w:pStyle w:val="Heading1"/>
      </w:pPr>
      <w:r>
        <w:rPr>
          <w:rFonts w:ascii="Calibri" w:hAnsi="Calibri"/>
          <w:color w:val="1F3A5F"/>
          <w:sz w:val="30"/>
        </w:rPr>
        <w:t>3. Univariate Missingness (Section 3.4.2.1)</w:t>
      </w:r>
    </w:p>
    <w:p>
      <w:pPr>
        <w:jc w:val="both"/>
      </w:pPr>
      <w:r>
        <w:rPr>
          <w:rFonts w:ascii="Calibri" w:hAnsi="Calibri"/>
          <w:b w:val="0"/>
          <w:i w:val="0"/>
          <w:sz w:val="22"/>
        </w:rPr>
        <w:t>Table 1 reports the count and percentage of missing values for every analytical variable in the raw dataset, classified by severity band.</w:t>
      </w:r>
    </w:p>
    <w:p>
      <w:r>
        <w:rPr>
          <w:rFonts w:ascii="Calibri" w:hAnsi="Calibri"/>
          <w:b w:val="0"/>
          <w:i/>
          <w:sz w:val="20"/>
        </w:rPr>
        <w:t>Table 1. Univariate missingness by variable.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F3A5F" w:val="clear"/>
            <w:vAlign w:val="center"/>
          </w:tcPr>
          <w:p>
            <w:pPr>
              <w:jc w:val="center"/>
            </w:pPr>
            <w:r/>
            <w:r>
              <w:rPr>
                <w:b/>
                <w:color w:val="FFFFFF"/>
                <w:sz w:val="20"/>
              </w:rPr>
              <w:t>Variable</w:t>
            </w:r>
          </w:p>
        </w:tc>
        <w:tc>
          <w:tcPr>
            <w:tcW w:type="dxa" w:w="1814"/>
            <w:shd w:fill="1F3A5F" w:val="clear"/>
            <w:vAlign w:val="center"/>
          </w:tcPr>
          <w:p>
            <w:pPr>
              <w:jc w:val="center"/>
            </w:pPr>
            <w:r/>
            <w:r>
              <w:rPr>
                <w:b/>
                <w:color w:val="FFFFFF"/>
                <w:sz w:val="20"/>
              </w:rPr>
              <w:t>N missing</w:t>
            </w:r>
          </w:p>
        </w:tc>
        <w:tc>
          <w:tcPr>
            <w:tcW w:type="dxa" w:w="1814"/>
            <w:shd w:fill="1F3A5F" w:val="clear"/>
            <w:vAlign w:val="center"/>
          </w:tcPr>
          <w:p>
            <w:pPr>
              <w:jc w:val="center"/>
            </w:pPr>
            <w:r/>
            <w:r>
              <w:rPr>
                <w:b/>
                <w:color w:val="FFFFFF"/>
                <w:sz w:val="20"/>
              </w:rPr>
              <w:t>N present</w:t>
            </w:r>
          </w:p>
        </w:tc>
        <w:tc>
          <w:tcPr>
            <w:tcW w:type="dxa" w:w="1814"/>
            <w:shd w:fill="1F3A5F" w:val="clear"/>
            <w:vAlign w:val="center"/>
          </w:tcPr>
          <w:p>
            <w:pPr>
              <w:jc w:val="center"/>
            </w:pPr>
            <w:r/>
            <w:r>
              <w:rPr>
                <w:b/>
                <w:color w:val="FFFFFF"/>
                <w:sz w:val="20"/>
              </w:rPr>
              <w:t>Missing (%)</w:t>
            </w:r>
          </w:p>
        </w:tc>
        <w:tc>
          <w:tcPr>
            <w:tcW w:type="dxa" w:w="1814"/>
            <w:shd w:fill="1F3A5F" w:val="clear"/>
            <w:vAlign w:val="center"/>
          </w:tcPr>
          <w:p>
            <w:pPr>
              <w:jc w:val="center"/>
            </w:pPr>
            <w:r/>
            <w:r>
              <w:rPr>
                <w:b/>
                <w:color w:val="FFFFFF"/>
                <w:sz w:val="20"/>
              </w:rPr>
              <w:t>Severity</w:t>
            </w:r>
          </w:p>
        </w:tc>
      </w:tr>
      <w:tr>
        <w:tc>
          <w:tcPr>
            <w:tcW w:type="dxa" w:w="1814"/>
            <w:vAlign w:val="center"/>
          </w:tcPr>
          <w:p>
            <w:r/>
            <w:r>
              <w:rPr>
                <w:rFonts w:ascii="Calibri" w:hAnsi="Calibri"/>
                <w:sz w:val="18"/>
              </w:rPr>
              <w:t>Birth_Weight(grams)</w:t>
            </w:r>
          </w:p>
        </w:tc>
        <w:tc>
          <w:tcPr>
            <w:tcW w:type="dxa" w:w="1814"/>
            <w:vAlign w:val="center"/>
          </w:tcPr>
          <w:p>
            <w:r/>
            <w:r>
              <w:rPr>
                <w:rFonts w:ascii="Calibri" w:hAnsi="Calibri"/>
                <w:sz w:val="18"/>
              </w:rPr>
              <w:t>33,542</w:t>
            </w:r>
          </w:p>
        </w:tc>
        <w:tc>
          <w:tcPr>
            <w:tcW w:type="dxa" w:w="1814"/>
            <w:vAlign w:val="center"/>
          </w:tcPr>
          <w:p>
            <w:r/>
            <w:r>
              <w:rPr>
                <w:rFonts w:ascii="Calibri" w:hAnsi="Calibri"/>
                <w:sz w:val="18"/>
              </w:rPr>
              <w:t>268,170</w:t>
            </w:r>
          </w:p>
        </w:tc>
        <w:tc>
          <w:tcPr>
            <w:tcW w:type="dxa" w:w="1814"/>
            <w:vAlign w:val="center"/>
          </w:tcPr>
          <w:p>
            <w:r/>
            <w:r>
              <w:rPr>
                <w:rFonts w:ascii="Calibri" w:hAnsi="Calibri"/>
                <w:sz w:val="18"/>
              </w:rPr>
              <w:t>11.12%</w:t>
            </w:r>
          </w:p>
        </w:tc>
        <w:tc>
          <w:tcPr>
            <w:tcW w:type="dxa" w:w="1814"/>
            <w:vAlign w:val="center"/>
          </w:tcPr>
          <w:p>
            <w:r/>
            <w:r>
              <w:rPr>
                <w:rFonts w:ascii="Calibri" w:hAnsi="Calibri"/>
                <w:sz w:val="18"/>
              </w:rPr>
              <w:t>Moderate (5–15%) — examine pattern</w:t>
            </w:r>
          </w:p>
        </w:tc>
      </w:tr>
      <w:tr>
        <w:tc>
          <w:tcPr>
            <w:tcW w:type="dxa" w:w="1814"/>
            <w:vAlign w:val="center"/>
            <w:shd w:fill="F2F5F9" w:val="clear"/>
          </w:tcPr>
          <w:p>
            <w:r/>
            <w:r>
              <w:rPr>
                <w:rFonts w:ascii="Calibri" w:hAnsi="Calibri"/>
                <w:sz w:val="18"/>
              </w:rPr>
              <w:t>Birth_Order2.0</w:t>
            </w:r>
          </w:p>
        </w:tc>
        <w:tc>
          <w:tcPr>
            <w:tcW w:type="dxa" w:w="1814"/>
            <w:vAlign w:val="center"/>
            <w:shd w:fill="F2F5F9" w:val="clear"/>
          </w:tcPr>
          <w:p>
            <w:r/>
            <w:r>
              <w:rPr>
                <w:rFonts w:ascii="Calibri" w:hAnsi="Calibri"/>
                <w:sz w:val="18"/>
              </w:rPr>
              <w:t>27,218</w:t>
            </w:r>
          </w:p>
        </w:tc>
        <w:tc>
          <w:tcPr>
            <w:tcW w:type="dxa" w:w="1814"/>
            <w:vAlign w:val="center"/>
            <w:shd w:fill="F2F5F9" w:val="clear"/>
          </w:tcPr>
          <w:p>
            <w:r/>
            <w:r>
              <w:rPr>
                <w:rFonts w:ascii="Calibri" w:hAnsi="Calibri"/>
                <w:sz w:val="18"/>
              </w:rPr>
              <w:t>274,494</w:t>
            </w:r>
          </w:p>
        </w:tc>
        <w:tc>
          <w:tcPr>
            <w:tcW w:type="dxa" w:w="1814"/>
            <w:vAlign w:val="center"/>
            <w:shd w:fill="F2F5F9" w:val="clear"/>
          </w:tcPr>
          <w:p>
            <w:r/>
            <w:r>
              <w:rPr>
                <w:rFonts w:ascii="Calibri" w:hAnsi="Calibri"/>
                <w:sz w:val="18"/>
              </w:rPr>
              <w:t>9.02%</w:t>
            </w:r>
          </w:p>
        </w:tc>
        <w:tc>
          <w:tcPr>
            <w:tcW w:type="dxa" w:w="1814"/>
            <w:vAlign w:val="center"/>
            <w:shd w:fill="F2F5F9" w:val="clear"/>
          </w:tcPr>
          <w:p>
            <w:r/>
            <w:r>
              <w:rPr>
                <w:rFonts w:ascii="Calibri" w:hAnsi="Calibri"/>
                <w:sz w:val="18"/>
              </w:rPr>
              <w:t>Moderate (5–15%) — examine pattern</w:t>
            </w:r>
          </w:p>
        </w:tc>
      </w:tr>
      <w:tr>
        <w:tc>
          <w:tcPr>
            <w:tcW w:type="dxa" w:w="1814"/>
            <w:vAlign w:val="center"/>
          </w:tcPr>
          <w:p>
            <w:r/>
            <w:r>
              <w:rPr>
                <w:rFonts w:ascii="Calibri" w:hAnsi="Calibri"/>
                <w:sz w:val="18"/>
              </w:rPr>
              <w:t>Birth_Order</w:t>
            </w:r>
          </w:p>
        </w:tc>
        <w:tc>
          <w:tcPr>
            <w:tcW w:type="dxa" w:w="1814"/>
            <w:vAlign w:val="center"/>
          </w:tcPr>
          <w:p>
            <w:r/>
            <w:r>
              <w:rPr>
                <w:rFonts w:ascii="Calibri" w:hAnsi="Calibri"/>
                <w:sz w:val="18"/>
              </w:rPr>
              <w:t>27,218</w:t>
            </w:r>
          </w:p>
        </w:tc>
        <w:tc>
          <w:tcPr>
            <w:tcW w:type="dxa" w:w="1814"/>
            <w:vAlign w:val="center"/>
          </w:tcPr>
          <w:p>
            <w:r/>
            <w:r>
              <w:rPr>
                <w:rFonts w:ascii="Calibri" w:hAnsi="Calibri"/>
                <w:sz w:val="18"/>
              </w:rPr>
              <w:t>274,494</w:t>
            </w:r>
          </w:p>
        </w:tc>
        <w:tc>
          <w:tcPr>
            <w:tcW w:type="dxa" w:w="1814"/>
            <w:vAlign w:val="center"/>
          </w:tcPr>
          <w:p>
            <w:r/>
            <w:r>
              <w:rPr>
                <w:rFonts w:ascii="Calibri" w:hAnsi="Calibri"/>
                <w:sz w:val="18"/>
              </w:rPr>
              <w:t>9.02%</w:t>
            </w:r>
          </w:p>
        </w:tc>
        <w:tc>
          <w:tcPr>
            <w:tcW w:type="dxa" w:w="1814"/>
            <w:vAlign w:val="center"/>
          </w:tcPr>
          <w:p>
            <w:r/>
            <w:r>
              <w:rPr>
                <w:rFonts w:ascii="Calibri" w:hAnsi="Calibri"/>
                <w:sz w:val="18"/>
              </w:rPr>
              <w:t>Moderate (5–15%) — examine pattern</w:t>
            </w:r>
          </w:p>
        </w:tc>
      </w:tr>
      <w:tr>
        <w:tc>
          <w:tcPr>
            <w:tcW w:type="dxa" w:w="1814"/>
            <w:vAlign w:val="center"/>
            <w:shd w:fill="F2F5F9" w:val="clear"/>
          </w:tcPr>
          <w:p>
            <w:r/>
            <w:r>
              <w:rPr>
                <w:rFonts w:ascii="Calibri" w:hAnsi="Calibri"/>
                <w:sz w:val="18"/>
              </w:rPr>
              <w:t>Race_of_Father</w:t>
            </w:r>
          </w:p>
        </w:tc>
        <w:tc>
          <w:tcPr>
            <w:tcW w:type="dxa" w:w="1814"/>
            <w:vAlign w:val="center"/>
            <w:shd w:fill="F2F5F9" w:val="clear"/>
          </w:tcPr>
          <w:p>
            <w:r/>
            <w:r>
              <w:rPr>
                <w:rFonts w:ascii="Calibri" w:hAnsi="Calibri"/>
                <w:sz w:val="18"/>
              </w:rPr>
              <w:t>1,231</w:t>
            </w:r>
          </w:p>
        </w:tc>
        <w:tc>
          <w:tcPr>
            <w:tcW w:type="dxa" w:w="1814"/>
            <w:vAlign w:val="center"/>
            <w:shd w:fill="F2F5F9" w:val="clear"/>
          </w:tcPr>
          <w:p>
            <w:r/>
            <w:r>
              <w:rPr>
                <w:rFonts w:ascii="Calibri" w:hAnsi="Calibri"/>
                <w:sz w:val="18"/>
              </w:rPr>
              <w:t>300,481</w:t>
            </w:r>
          </w:p>
        </w:tc>
        <w:tc>
          <w:tcPr>
            <w:tcW w:type="dxa" w:w="1814"/>
            <w:vAlign w:val="center"/>
            <w:shd w:fill="F2F5F9" w:val="clear"/>
          </w:tcPr>
          <w:p>
            <w:r/>
            <w:r>
              <w:rPr>
                <w:rFonts w:ascii="Calibri" w:hAnsi="Calibri"/>
                <w:sz w:val="18"/>
              </w:rPr>
              <w:t>0.41%</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Race_of_Mother</w:t>
            </w:r>
          </w:p>
        </w:tc>
        <w:tc>
          <w:tcPr>
            <w:tcW w:type="dxa" w:w="1814"/>
            <w:vAlign w:val="center"/>
          </w:tcPr>
          <w:p>
            <w:r/>
            <w:r>
              <w:rPr>
                <w:rFonts w:ascii="Calibri" w:hAnsi="Calibri"/>
                <w:sz w:val="18"/>
              </w:rPr>
              <w:t>520</w:t>
            </w:r>
          </w:p>
        </w:tc>
        <w:tc>
          <w:tcPr>
            <w:tcW w:type="dxa" w:w="1814"/>
            <w:vAlign w:val="center"/>
          </w:tcPr>
          <w:p>
            <w:r/>
            <w:r>
              <w:rPr>
                <w:rFonts w:ascii="Calibri" w:hAnsi="Calibri"/>
                <w:sz w:val="18"/>
              </w:rPr>
              <w:t>301,192</w:t>
            </w:r>
          </w:p>
        </w:tc>
        <w:tc>
          <w:tcPr>
            <w:tcW w:type="dxa" w:w="1814"/>
            <w:vAlign w:val="center"/>
          </w:tcPr>
          <w:p>
            <w:r/>
            <w:r>
              <w:rPr>
                <w:rFonts w:ascii="Calibri" w:hAnsi="Calibri"/>
                <w:sz w:val="18"/>
              </w:rPr>
              <w:t>0.17%</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Age of Mother</w:t>
            </w:r>
          </w:p>
        </w:tc>
        <w:tc>
          <w:tcPr>
            <w:tcW w:type="dxa" w:w="1814"/>
            <w:vAlign w:val="center"/>
            <w:shd w:fill="F2F5F9" w:val="clear"/>
          </w:tcPr>
          <w:p>
            <w:r/>
            <w:r>
              <w:rPr>
                <w:rFonts w:ascii="Calibri" w:hAnsi="Calibri"/>
                <w:sz w:val="18"/>
              </w:rPr>
              <w:t>154</w:t>
            </w:r>
          </w:p>
        </w:tc>
        <w:tc>
          <w:tcPr>
            <w:tcW w:type="dxa" w:w="1814"/>
            <w:vAlign w:val="center"/>
            <w:shd w:fill="F2F5F9" w:val="clear"/>
          </w:tcPr>
          <w:p>
            <w:r/>
            <w:r>
              <w:rPr>
                <w:rFonts w:ascii="Calibri" w:hAnsi="Calibri"/>
                <w:sz w:val="18"/>
              </w:rPr>
              <w:t>301,558</w:t>
            </w:r>
          </w:p>
        </w:tc>
        <w:tc>
          <w:tcPr>
            <w:tcW w:type="dxa" w:w="1814"/>
            <w:vAlign w:val="center"/>
            <w:shd w:fill="F2F5F9" w:val="clear"/>
          </w:tcPr>
          <w:p>
            <w:r/>
            <w:r>
              <w:rPr>
                <w:rFonts w:ascii="Calibri" w:hAnsi="Calibri"/>
                <w:sz w:val="18"/>
              </w:rPr>
              <w:t>0.05%</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Marital_Status</w:t>
            </w:r>
          </w:p>
        </w:tc>
        <w:tc>
          <w:tcPr>
            <w:tcW w:type="dxa" w:w="1814"/>
            <w:vAlign w:val="center"/>
          </w:tcPr>
          <w:p>
            <w:r/>
            <w:r>
              <w:rPr>
                <w:rFonts w:ascii="Calibri" w:hAnsi="Calibri"/>
                <w:sz w:val="18"/>
              </w:rPr>
              <w:t>17</w:t>
            </w:r>
          </w:p>
        </w:tc>
        <w:tc>
          <w:tcPr>
            <w:tcW w:type="dxa" w:w="1814"/>
            <w:vAlign w:val="center"/>
          </w:tcPr>
          <w:p>
            <w:r/>
            <w:r>
              <w:rPr>
                <w:rFonts w:ascii="Calibri" w:hAnsi="Calibri"/>
                <w:sz w:val="18"/>
              </w:rPr>
              <w:t>301,695</w:t>
            </w:r>
          </w:p>
        </w:tc>
        <w:tc>
          <w:tcPr>
            <w:tcW w:type="dxa" w:w="1814"/>
            <w:vAlign w:val="center"/>
          </w:tcPr>
          <w:p>
            <w:r/>
            <w:r>
              <w:rPr>
                <w:rFonts w:ascii="Calibri" w:hAnsi="Calibri"/>
                <w:sz w:val="18"/>
              </w:rPr>
              <w:t>0.01%</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Gender</w:t>
            </w:r>
          </w:p>
        </w:tc>
        <w:tc>
          <w:tcPr>
            <w:tcW w:type="dxa" w:w="1814"/>
            <w:vAlign w:val="center"/>
            <w:shd w:fill="F2F5F9" w:val="clear"/>
          </w:tcPr>
          <w:p>
            <w:r/>
            <w:r>
              <w:rPr>
                <w:rFonts w:ascii="Calibri" w:hAnsi="Calibri"/>
                <w:sz w:val="18"/>
              </w:rPr>
              <w:t>2</w:t>
            </w:r>
          </w:p>
        </w:tc>
        <w:tc>
          <w:tcPr>
            <w:tcW w:type="dxa" w:w="1814"/>
            <w:vAlign w:val="center"/>
            <w:shd w:fill="F2F5F9" w:val="clear"/>
          </w:tcPr>
          <w:p>
            <w:r/>
            <w:r>
              <w:rPr>
                <w:rFonts w:ascii="Calibri" w:hAnsi="Calibri"/>
                <w:sz w:val="18"/>
              </w:rPr>
              <w:t>301,710</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Registered_Month</w:t>
            </w:r>
          </w:p>
        </w:tc>
        <w:tc>
          <w:tcPr>
            <w:tcW w:type="dxa" w:w="1814"/>
            <w:vAlign w:val="center"/>
          </w:tcPr>
          <w:p>
            <w:r/>
            <w:r>
              <w:rPr>
                <w:rFonts w:ascii="Calibri" w:hAnsi="Calibri"/>
                <w:sz w:val="18"/>
              </w:rPr>
              <w:t>0</w:t>
            </w:r>
          </w:p>
        </w:tc>
        <w:tc>
          <w:tcPr>
            <w:tcW w:type="dxa" w:w="1814"/>
            <w:vAlign w:val="center"/>
          </w:tcPr>
          <w:p>
            <w:r/>
            <w:r>
              <w:rPr>
                <w:rFonts w:ascii="Calibri" w:hAnsi="Calibri"/>
                <w:sz w:val="18"/>
              </w:rPr>
              <w:t>301,712</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Registered_Year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301,712</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Multiple_Birth_Status</w:t>
            </w:r>
          </w:p>
        </w:tc>
        <w:tc>
          <w:tcPr>
            <w:tcW w:type="dxa" w:w="1814"/>
            <w:vAlign w:val="center"/>
          </w:tcPr>
          <w:p>
            <w:r/>
            <w:r>
              <w:rPr>
                <w:rFonts w:ascii="Calibri" w:hAnsi="Calibri"/>
                <w:sz w:val="18"/>
              </w:rPr>
              <w:t>0</w:t>
            </w:r>
          </w:p>
        </w:tc>
        <w:tc>
          <w:tcPr>
            <w:tcW w:type="dxa" w:w="1814"/>
            <w:vAlign w:val="center"/>
          </w:tcPr>
          <w:p>
            <w:r/>
            <w:r>
              <w:rPr>
                <w:rFonts w:ascii="Calibri" w:hAnsi="Calibri"/>
                <w:sz w:val="18"/>
              </w:rPr>
              <w:t>301,712</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Hospital or Not</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301,712</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Birth_Month</w:t>
            </w:r>
          </w:p>
        </w:tc>
        <w:tc>
          <w:tcPr>
            <w:tcW w:type="dxa" w:w="1814"/>
            <w:vAlign w:val="center"/>
          </w:tcPr>
          <w:p>
            <w:r/>
            <w:r>
              <w:rPr>
                <w:rFonts w:ascii="Calibri" w:hAnsi="Calibri"/>
                <w:sz w:val="18"/>
              </w:rPr>
              <w:t>0</w:t>
            </w:r>
          </w:p>
        </w:tc>
        <w:tc>
          <w:tcPr>
            <w:tcW w:type="dxa" w:w="1814"/>
            <w:vAlign w:val="center"/>
          </w:tcPr>
          <w:p>
            <w:r/>
            <w:r>
              <w:rPr>
                <w:rFonts w:ascii="Calibri" w:hAnsi="Calibri"/>
                <w:sz w:val="18"/>
              </w:rPr>
              <w:t>301,712</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Birth_Month.0</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301,712</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Birh_Year</w:t>
            </w:r>
          </w:p>
        </w:tc>
        <w:tc>
          <w:tcPr>
            <w:tcW w:type="dxa" w:w="1814"/>
            <w:vAlign w:val="center"/>
          </w:tcPr>
          <w:p>
            <w:r/>
            <w:r>
              <w:rPr>
                <w:rFonts w:ascii="Calibri" w:hAnsi="Calibri"/>
                <w:sz w:val="18"/>
              </w:rPr>
              <w:t>0</w:t>
            </w:r>
          </w:p>
        </w:tc>
        <w:tc>
          <w:tcPr>
            <w:tcW w:type="dxa" w:w="1814"/>
            <w:vAlign w:val="center"/>
          </w:tcPr>
          <w:p>
            <w:r/>
            <w:r>
              <w:rPr>
                <w:rFonts w:ascii="Calibri" w:hAnsi="Calibri"/>
                <w:sz w:val="18"/>
              </w:rPr>
              <w:t>301,712</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Birh_Year 2.0</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301,712</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Registered_District</w:t>
            </w:r>
          </w:p>
        </w:tc>
        <w:tc>
          <w:tcPr>
            <w:tcW w:type="dxa" w:w="1814"/>
            <w:vAlign w:val="center"/>
          </w:tcPr>
          <w:p>
            <w:r/>
            <w:r>
              <w:rPr>
                <w:rFonts w:ascii="Calibri" w:hAnsi="Calibri"/>
                <w:sz w:val="18"/>
              </w:rPr>
              <w:t>0</w:t>
            </w:r>
          </w:p>
        </w:tc>
        <w:tc>
          <w:tcPr>
            <w:tcW w:type="dxa" w:w="1814"/>
            <w:vAlign w:val="center"/>
          </w:tcPr>
          <w:p>
            <w:r/>
            <w:r>
              <w:rPr>
                <w:rFonts w:ascii="Calibri" w:hAnsi="Calibri"/>
                <w:sz w:val="18"/>
              </w:rPr>
              <w:t>301,712</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District_of_Mother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301,712</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bl>
    <w:p>
      <w:r>
        <w:rPr>
          <w:rFonts w:ascii="Calibri" w:hAnsi="Calibri"/>
          <w:b w:val="0"/>
          <w:i w:val="0"/>
          <w:sz w:val="22"/>
        </w:rPr>
      </w:r>
    </w:p>
    <w:p>
      <w:pPr>
        <w:jc w:val="center"/>
      </w:pPr>
      <w:r>
        <w:drawing>
          <wp:inline xmlns:a="http://schemas.openxmlformats.org/drawingml/2006/main" xmlns:pic="http://schemas.openxmlformats.org/drawingml/2006/picture">
            <wp:extent cx="5580000" cy="3735763"/>
            <wp:docPr id="1" name="Picture 1"/>
            <wp:cNvGraphicFramePr>
              <a:graphicFrameLocks noChangeAspect="1"/>
            </wp:cNvGraphicFramePr>
            <a:graphic>
              <a:graphicData uri="http://schemas.openxmlformats.org/drawingml/2006/picture">
                <pic:pic>
                  <pic:nvPicPr>
                    <pic:cNvPr id="0" name="fig1_missingness_by_variable.png"/>
                    <pic:cNvPicPr/>
                  </pic:nvPicPr>
                  <pic:blipFill>
                    <a:blip r:embed="rId9"/>
                    <a:stretch>
                      <a:fillRect/>
                    </a:stretch>
                  </pic:blipFill>
                  <pic:spPr>
                    <a:xfrm>
                      <a:off x="0" y="0"/>
                      <a:ext cx="5580000" cy="3735763"/>
                    </a:xfrm>
                    <a:prstGeom prst="rect"/>
                  </pic:spPr>
                </pic:pic>
              </a:graphicData>
            </a:graphic>
          </wp:inline>
        </w:drawing>
      </w:r>
    </w:p>
    <w:p>
      <w:pPr>
        <w:jc w:val="center"/>
      </w:pPr>
      <w:r>
        <w:rPr>
          <w:i/>
          <w:color w:val="555555"/>
          <w:sz w:val="18"/>
        </w:rPr>
        <w:t>Figure 1. Missingness rate by variable, with severity-band thresholds.</w:t>
      </w:r>
    </w:p>
    <w:p>
      <w:pPr>
        <w:pStyle w:val="Heading1"/>
      </w:pPr>
      <w:r>
        <w:rPr>
          <w:rFonts w:ascii="Calibri" w:hAnsi="Calibri"/>
          <w:color w:val="1F3A5F"/>
          <w:sz w:val="30"/>
        </w:rPr>
        <w:t>4. Missingness Patterns (Section 3.4.2.2)</w:t>
      </w:r>
    </w:p>
    <w:p>
      <w:pPr>
        <w:jc w:val="both"/>
      </w:pPr>
      <w:r>
        <w:rPr>
          <w:rFonts w:ascii="Calibri" w:hAnsi="Calibri"/>
          <w:b w:val="0"/>
          <w:i w:val="0"/>
          <w:sz w:val="22"/>
        </w:rPr>
        <w:t>The pattern of missingness across variables was examined to detect whether records tend to be missing on multiple variables simultaneously (block missingness) or whether missingness occurs independently.</w:t>
      </w:r>
    </w:p>
    <w:p>
      <w:pPr>
        <w:jc w:val="center"/>
      </w:pPr>
      <w:r>
        <w:drawing>
          <wp:inline xmlns:a="http://schemas.openxmlformats.org/drawingml/2006/main" xmlns:pic="http://schemas.openxmlformats.org/drawingml/2006/picture">
            <wp:extent cx="5580000" cy="2964375"/>
            <wp:docPr id="2" name="Picture 2"/>
            <wp:cNvGraphicFramePr>
              <a:graphicFrameLocks noChangeAspect="1"/>
            </wp:cNvGraphicFramePr>
            <a:graphic>
              <a:graphicData uri="http://schemas.openxmlformats.org/drawingml/2006/picture">
                <pic:pic>
                  <pic:nvPicPr>
                    <pic:cNvPr id="0" name="fig2_missingness_pattern_heatmap.png"/>
                    <pic:cNvPicPr/>
                  </pic:nvPicPr>
                  <pic:blipFill>
                    <a:blip r:embed="rId10"/>
                    <a:stretch>
                      <a:fillRect/>
                    </a:stretch>
                  </pic:blipFill>
                  <pic:spPr>
                    <a:xfrm>
                      <a:off x="0" y="0"/>
                      <a:ext cx="5580000" cy="2964375"/>
                    </a:xfrm>
                    <a:prstGeom prst="rect"/>
                  </pic:spPr>
                </pic:pic>
              </a:graphicData>
            </a:graphic>
          </wp:inline>
        </w:drawing>
      </w:r>
    </w:p>
    <w:p>
      <w:pPr>
        <w:jc w:val="center"/>
      </w:pPr>
      <w:r>
        <w:rPr>
          <w:i/>
          <w:color w:val="555555"/>
          <w:sz w:val="18"/>
        </w:rPr>
        <w:t>Figure 2. Heatmap of missingness across a random sample of records (green = present, red = missing).</w:t>
      </w:r>
    </w:p>
    <w:p>
      <w:r>
        <w:rPr>
          <w:rFonts w:ascii="Calibri" w:hAnsi="Calibri"/>
          <w:b w:val="0"/>
          <w:i/>
          <w:sz w:val="20"/>
        </w:rPr>
        <w:t>Table 2. Top missingness patterns (1 = missing, 0 = present).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F3A5F" w:val="clear"/>
            <w:vAlign w:val="center"/>
          </w:tcPr>
          <w:p>
            <w:pPr>
              <w:jc w:val="center"/>
            </w:pPr>
            <w:r/>
            <w:r>
              <w:rPr>
                <w:b/>
                <w:color w:val="FFFFFF"/>
                <w:sz w:val="20"/>
              </w:rPr>
              <w:t>Pattern code</w:t>
            </w:r>
          </w:p>
        </w:tc>
        <w:tc>
          <w:tcPr>
            <w:tcW w:type="dxa" w:w="2268"/>
            <w:shd w:fill="1F3A5F" w:val="clear"/>
            <w:vAlign w:val="center"/>
          </w:tcPr>
          <w:p>
            <w:pPr>
              <w:jc w:val="center"/>
            </w:pPr>
            <w:r/>
            <w:r>
              <w:rPr>
                <w:b/>
                <w:color w:val="FFFFFF"/>
                <w:sz w:val="20"/>
              </w:rPr>
              <w:t>N records</w:t>
            </w:r>
          </w:p>
        </w:tc>
        <w:tc>
          <w:tcPr>
            <w:tcW w:type="dxa" w:w="2268"/>
            <w:shd w:fill="1F3A5F" w:val="clear"/>
            <w:vAlign w:val="center"/>
          </w:tcPr>
          <w:p>
            <w:pPr>
              <w:jc w:val="center"/>
            </w:pPr>
            <w:r/>
            <w:r>
              <w:rPr>
                <w:b/>
                <w:color w:val="FFFFFF"/>
                <w:sz w:val="20"/>
              </w:rPr>
              <w:t>% of dataset</w:t>
            </w:r>
          </w:p>
        </w:tc>
        <w:tc>
          <w:tcPr>
            <w:tcW w:type="dxa" w:w="2268"/>
            <w:shd w:fill="1F3A5F" w:val="clear"/>
            <w:vAlign w:val="center"/>
          </w:tcPr>
          <w:p>
            <w:pPr>
              <w:jc w:val="center"/>
            </w:pPr>
            <w:r/>
            <w:r>
              <w:rPr>
                <w:b/>
                <w:color w:val="FFFFFF"/>
                <w:sz w:val="20"/>
              </w:rPr>
              <w:t>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261,556</w:t>
            </w:r>
          </w:p>
        </w:tc>
        <w:tc>
          <w:tcPr>
            <w:tcW w:type="dxa" w:w="2268"/>
            <w:vAlign w:val="center"/>
          </w:tcPr>
          <w:p>
            <w:r/>
            <w:r>
              <w:rPr>
                <w:rFonts w:ascii="Calibri" w:hAnsi="Calibri"/>
                <w:sz w:val="18"/>
              </w:rPr>
              <w:t>86.6906%</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FalseFalseFalseFalseFalseFalseFalseFalseFalseFalseTrueTrueT…</w:t>
            </w:r>
          </w:p>
        </w:tc>
        <w:tc>
          <w:tcPr>
            <w:tcW w:type="dxa" w:w="2268"/>
            <w:vAlign w:val="center"/>
            <w:shd w:fill="F2F5F9" w:val="clear"/>
          </w:tcPr>
          <w:p>
            <w:r/>
            <w:r>
              <w:rPr>
                <w:rFonts w:ascii="Calibri" w:hAnsi="Calibri"/>
                <w:sz w:val="18"/>
              </w:rPr>
              <w:t>21,364</w:t>
            </w:r>
          </w:p>
        </w:tc>
        <w:tc>
          <w:tcPr>
            <w:tcW w:type="dxa" w:w="2268"/>
            <w:vAlign w:val="center"/>
            <w:shd w:fill="F2F5F9" w:val="clear"/>
          </w:tcPr>
          <w:p>
            <w:r/>
            <w:r>
              <w:rPr>
                <w:rFonts w:ascii="Calibri" w:hAnsi="Calibri"/>
                <w:sz w:val="18"/>
              </w:rPr>
              <w:t>7.0809%</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FalseFalseFalseFalseFalseFalseFalseFalseFalseFalseTrueFalse…</w:t>
            </w:r>
          </w:p>
        </w:tc>
        <w:tc>
          <w:tcPr>
            <w:tcW w:type="dxa" w:w="2268"/>
            <w:vAlign w:val="center"/>
          </w:tcPr>
          <w:p>
            <w:r/>
            <w:r>
              <w:rPr>
                <w:rFonts w:ascii="Calibri" w:hAnsi="Calibri"/>
                <w:sz w:val="18"/>
              </w:rPr>
              <w:t>11,663</w:t>
            </w:r>
          </w:p>
        </w:tc>
        <w:tc>
          <w:tcPr>
            <w:tcW w:type="dxa" w:w="2268"/>
            <w:vAlign w:val="center"/>
          </w:tcPr>
          <w:p>
            <w:r/>
            <w:r>
              <w:rPr>
                <w:rFonts w:ascii="Calibri" w:hAnsi="Calibri"/>
                <w:sz w:val="18"/>
              </w:rPr>
              <w:t>3.8656%</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5,523</w:t>
            </w:r>
          </w:p>
        </w:tc>
        <w:tc>
          <w:tcPr>
            <w:tcW w:type="dxa" w:w="2268"/>
            <w:vAlign w:val="center"/>
            <w:shd w:fill="F2F5F9" w:val="clear"/>
          </w:tcPr>
          <w:p>
            <w:r/>
            <w:r>
              <w:rPr>
                <w:rFonts w:ascii="Calibri" w:hAnsi="Calibri"/>
                <w:sz w:val="18"/>
              </w:rPr>
              <w:t>1.8306%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635</w:t>
            </w:r>
          </w:p>
        </w:tc>
        <w:tc>
          <w:tcPr>
            <w:tcW w:type="dxa" w:w="2268"/>
            <w:vAlign w:val="center"/>
          </w:tcPr>
          <w:p>
            <w:r/>
            <w:r>
              <w:rPr>
                <w:rFonts w:ascii="Calibri" w:hAnsi="Calibri"/>
                <w:sz w:val="18"/>
              </w:rPr>
              <w:t>0.2105%</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FalseFalseFalseFalseFalseFalseFalseFalseFalseFalseFalseFals…</w:t>
            </w:r>
          </w:p>
        </w:tc>
        <w:tc>
          <w:tcPr>
            <w:tcW w:type="dxa" w:w="2268"/>
            <w:vAlign w:val="center"/>
            <w:shd w:fill="F2F5F9" w:val="clear"/>
          </w:tcPr>
          <w:p>
            <w:r/>
            <w:r>
              <w:rPr>
                <w:rFonts w:ascii="Calibri" w:hAnsi="Calibri"/>
                <w:sz w:val="18"/>
              </w:rPr>
              <w:t>222</w:t>
            </w:r>
          </w:p>
        </w:tc>
        <w:tc>
          <w:tcPr>
            <w:tcW w:type="dxa" w:w="2268"/>
            <w:vAlign w:val="center"/>
            <w:shd w:fill="F2F5F9" w:val="clear"/>
          </w:tcPr>
          <w:p>
            <w:r/>
            <w:r>
              <w:rPr>
                <w:rFonts w:ascii="Calibri" w:hAnsi="Calibri"/>
                <w:sz w:val="18"/>
              </w:rPr>
              <w:t>0.0736%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171</w:t>
            </w:r>
          </w:p>
        </w:tc>
        <w:tc>
          <w:tcPr>
            <w:tcW w:type="dxa" w:w="2268"/>
            <w:vAlign w:val="center"/>
          </w:tcPr>
          <w:p>
            <w:r/>
            <w:r>
              <w:rPr>
                <w:rFonts w:ascii="Calibri" w:hAnsi="Calibri"/>
                <w:sz w:val="18"/>
              </w:rPr>
              <w:t>0.0567%</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FalseFalseFalseFalseFalseFalseFalseFalseFalseFalseTrueTrueT…</w:t>
            </w:r>
          </w:p>
        </w:tc>
        <w:tc>
          <w:tcPr>
            <w:tcW w:type="dxa" w:w="2268"/>
            <w:vAlign w:val="center"/>
            <w:shd w:fill="F2F5F9" w:val="clear"/>
          </w:tcPr>
          <w:p>
            <w:r/>
            <w:r>
              <w:rPr>
                <w:rFonts w:ascii="Calibri" w:hAnsi="Calibri"/>
                <w:sz w:val="18"/>
              </w:rPr>
              <w:t>162</w:t>
            </w:r>
          </w:p>
        </w:tc>
        <w:tc>
          <w:tcPr>
            <w:tcW w:type="dxa" w:w="2268"/>
            <w:vAlign w:val="center"/>
            <w:shd w:fill="F2F5F9" w:val="clear"/>
          </w:tcPr>
          <w:p>
            <w:r/>
            <w:r>
              <w:rPr>
                <w:rFonts w:ascii="Calibri" w:hAnsi="Calibri"/>
                <w:sz w:val="18"/>
              </w:rPr>
              <w:t>0.0537%</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FalseFalseFalseFalseFalseFalseFalseFalseFalseFalseTrueFalse…</w:t>
            </w:r>
          </w:p>
        </w:tc>
        <w:tc>
          <w:tcPr>
            <w:tcW w:type="dxa" w:w="2268"/>
            <w:vAlign w:val="center"/>
          </w:tcPr>
          <w:p>
            <w:r/>
            <w:r>
              <w:rPr>
                <w:rFonts w:ascii="Calibri" w:hAnsi="Calibri"/>
                <w:sz w:val="18"/>
              </w:rPr>
              <w:t>155</w:t>
            </w:r>
          </w:p>
        </w:tc>
        <w:tc>
          <w:tcPr>
            <w:tcW w:type="dxa" w:w="2268"/>
            <w:vAlign w:val="center"/>
          </w:tcPr>
          <w:p>
            <w:r/>
            <w:r>
              <w:rPr>
                <w:rFonts w:ascii="Calibri" w:hAnsi="Calibri"/>
                <w:sz w:val="18"/>
              </w:rPr>
              <w:t>0.0514%</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FalseFalseFalseFalseFalseFalseFalseFalseFalseFalseTrueFalse…</w:t>
            </w:r>
          </w:p>
        </w:tc>
        <w:tc>
          <w:tcPr>
            <w:tcW w:type="dxa" w:w="2268"/>
            <w:vAlign w:val="center"/>
            <w:shd w:fill="F2F5F9" w:val="clear"/>
          </w:tcPr>
          <w:p>
            <w:r/>
            <w:r>
              <w:rPr>
                <w:rFonts w:ascii="Calibri" w:hAnsi="Calibri"/>
                <w:sz w:val="18"/>
              </w:rPr>
              <w:t>49</w:t>
            </w:r>
          </w:p>
        </w:tc>
        <w:tc>
          <w:tcPr>
            <w:tcW w:type="dxa" w:w="2268"/>
            <w:vAlign w:val="center"/>
            <w:shd w:fill="F2F5F9" w:val="clear"/>
          </w:tcPr>
          <w:p>
            <w:r/>
            <w:r>
              <w:rPr>
                <w:rFonts w:ascii="Calibri" w:hAnsi="Calibri"/>
                <w:sz w:val="18"/>
              </w:rPr>
              <w:t>0.0162%</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FalseFalseFalseFalseFalseFalseFalseFalseFalseFalseTrueTrueT…</w:t>
            </w:r>
          </w:p>
        </w:tc>
        <w:tc>
          <w:tcPr>
            <w:tcW w:type="dxa" w:w="2268"/>
            <w:vAlign w:val="center"/>
          </w:tcPr>
          <w:p>
            <w:r/>
            <w:r>
              <w:rPr>
                <w:rFonts w:ascii="Calibri" w:hAnsi="Calibri"/>
                <w:sz w:val="18"/>
              </w:rPr>
              <w:t>38</w:t>
            </w:r>
          </w:p>
        </w:tc>
        <w:tc>
          <w:tcPr>
            <w:tcW w:type="dxa" w:w="2268"/>
            <w:vAlign w:val="center"/>
          </w:tcPr>
          <w:p>
            <w:r/>
            <w:r>
              <w:rPr>
                <w:rFonts w:ascii="Calibri" w:hAnsi="Calibri"/>
                <w:sz w:val="18"/>
              </w:rPr>
              <w:t>0.0126%</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23</w:t>
            </w:r>
          </w:p>
        </w:tc>
        <w:tc>
          <w:tcPr>
            <w:tcW w:type="dxa" w:w="2268"/>
            <w:vAlign w:val="center"/>
            <w:shd w:fill="F2F5F9" w:val="clear"/>
          </w:tcPr>
          <w:p>
            <w:r/>
            <w:r>
              <w:rPr>
                <w:rFonts w:ascii="Calibri" w:hAnsi="Calibri"/>
                <w:sz w:val="18"/>
              </w:rPr>
              <w:t>0.0076%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FalseFalseFalseFalseFalseFalseFalseFalseFalseFalseTrueTrueT…</w:t>
            </w:r>
          </w:p>
        </w:tc>
        <w:tc>
          <w:tcPr>
            <w:tcW w:type="dxa" w:w="2268"/>
            <w:vAlign w:val="center"/>
          </w:tcPr>
          <w:p>
            <w:r/>
            <w:r>
              <w:rPr>
                <w:rFonts w:ascii="Calibri" w:hAnsi="Calibri"/>
                <w:sz w:val="18"/>
              </w:rPr>
              <w:t>21</w:t>
            </w:r>
          </w:p>
        </w:tc>
        <w:tc>
          <w:tcPr>
            <w:tcW w:type="dxa" w:w="2268"/>
            <w:vAlign w:val="center"/>
          </w:tcPr>
          <w:p>
            <w:r/>
            <w:r>
              <w:rPr>
                <w:rFonts w:ascii="Calibri" w:hAnsi="Calibri"/>
                <w:sz w:val="18"/>
              </w:rPr>
              <w:t>0.0070%</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FalseFalseFalseFalseFalseFalseFalseFalseFalseFalseFalseTrue…</w:t>
            </w:r>
          </w:p>
        </w:tc>
        <w:tc>
          <w:tcPr>
            <w:tcW w:type="dxa" w:w="2268"/>
            <w:vAlign w:val="center"/>
            <w:shd w:fill="F2F5F9" w:val="clear"/>
          </w:tcPr>
          <w:p>
            <w:r/>
            <w:r>
              <w:rPr>
                <w:rFonts w:ascii="Calibri" w:hAnsi="Calibri"/>
                <w:sz w:val="18"/>
              </w:rPr>
              <w:t>14</w:t>
            </w:r>
          </w:p>
        </w:tc>
        <w:tc>
          <w:tcPr>
            <w:tcW w:type="dxa" w:w="2268"/>
            <w:vAlign w:val="center"/>
            <w:shd w:fill="F2F5F9" w:val="clear"/>
          </w:tcPr>
          <w:p>
            <w:r/>
            <w:r>
              <w:rPr>
                <w:rFonts w:ascii="Calibri" w:hAnsi="Calibri"/>
                <w:sz w:val="18"/>
              </w:rPr>
              <w:t>0.0046%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FalseFalseFalseFalseFalseFalseFalseFalseFalseFalseFalseTrue…</w:t>
            </w:r>
          </w:p>
        </w:tc>
        <w:tc>
          <w:tcPr>
            <w:tcW w:type="dxa" w:w="2268"/>
            <w:vAlign w:val="center"/>
          </w:tcPr>
          <w:p>
            <w:r/>
            <w:r>
              <w:rPr>
                <w:rFonts w:ascii="Calibri" w:hAnsi="Calibri"/>
                <w:sz w:val="18"/>
              </w:rPr>
              <w:t>14</w:t>
            </w:r>
          </w:p>
        </w:tc>
        <w:tc>
          <w:tcPr>
            <w:tcW w:type="dxa" w:w="2268"/>
            <w:vAlign w:val="center"/>
          </w:tcPr>
          <w:p>
            <w:r/>
            <w:r>
              <w:rPr>
                <w:rFonts w:ascii="Calibri" w:hAnsi="Calibri"/>
                <w:sz w:val="18"/>
              </w:rPr>
              <w:t>0.0046%</w:t>
            </w:r>
          </w:p>
        </w:tc>
        <w:tc>
          <w:tcPr>
            <w:tcW w:type="dxa" w:w="2268"/>
            <w:vAlign w:val="center"/>
          </w:tcPr>
          <w:p>
            <w:r/>
            <w:r>
              <w:rPr>
                <w:rFonts w:ascii="Calibri" w:hAnsi="Calibri"/>
                <w:sz w:val="18"/>
              </w:rPr>
              <w:t>COMPLETE — no variables missing</w:t>
            </w:r>
          </w:p>
        </w:tc>
      </w:tr>
    </w:tbl>
    <w:p>
      <w:pPr>
        <w:jc w:val="center"/>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3_n_missing_per_record.png"/>
                    <pic:cNvPicPr/>
                  </pic:nvPicPr>
                  <pic:blipFill>
                    <a:blip r:embed="rId11"/>
                    <a:stretch>
                      <a:fillRect/>
                    </a:stretch>
                  </pic:blipFill>
                  <pic:spPr>
                    <a:xfrm>
                      <a:off x="0" y="0"/>
                      <a:ext cx="5580000" cy="2480000"/>
                    </a:xfrm>
                    <a:prstGeom prst="rect"/>
                  </pic:spPr>
                </pic:pic>
              </a:graphicData>
            </a:graphic>
          </wp:inline>
        </w:drawing>
      </w:r>
    </w:p>
    <w:p>
      <w:pPr>
        <w:jc w:val="center"/>
      </w:pPr>
      <w:r>
        <w:rPr>
          <w:i/>
          <w:color w:val="555555"/>
          <w:sz w:val="18"/>
        </w:rPr>
        <w:t>Figure 3. Distribution of records by number of variables missing.</w:t>
      </w:r>
    </w:p>
    <w:p>
      <w:pPr>
        <w:pStyle w:val="Heading1"/>
      </w:pPr>
      <w:r>
        <w:rPr>
          <w:rFonts w:ascii="Calibri" w:hAnsi="Calibri"/>
          <w:color w:val="1F3A5F"/>
          <w:sz w:val="30"/>
        </w:rPr>
        <w:t>5. Missingness Correlation Matrix</w:t>
      </w:r>
    </w:p>
    <w:p>
      <w:pPr>
        <w:jc w:val="both"/>
      </w:pPr>
      <w:r>
        <w:rPr>
          <w:rFonts w:ascii="Calibri" w:hAnsi="Calibri"/>
          <w:b w:val="0"/>
          <w:i w:val="0"/>
          <w:sz w:val="22"/>
        </w:rPr>
        <w:t>Strong positive correlation between missingness indicators on two variables suggests a shared mechanism — for example, a non-hospital delivery producing missingness on both Birth Weight and Hospital Indicator simultaneously.</w:t>
      </w:r>
    </w:p>
    <w:p>
      <w:pPr>
        <w:jc w:val="center"/>
      </w:pPr>
      <w:r>
        <w:drawing>
          <wp:inline xmlns:a="http://schemas.openxmlformats.org/drawingml/2006/main" xmlns:pic="http://schemas.openxmlformats.org/drawingml/2006/picture">
            <wp:extent cx="5580000" cy="4896000"/>
            <wp:docPr id="4" name="Picture 4"/>
            <wp:cNvGraphicFramePr>
              <a:graphicFrameLocks noChangeAspect="1"/>
            </wp:cNvGraphicFramePr>
            <a:graphic>
              <a:graphicData uri="http://schemas.openxmlformats.org/drawingml/2006/picture">
                <pic:pic>
                  <pic:nvPicPr>
                    <pic:cNvPr id="0" name="fig4_missingness_correlation.png"/>
                    <pic:cNvPicPr/>
                  </pic:nvPicPr>
                  <pic:blipFill>
                    <a:blip r:embed="rId12"/>
                    <a:stretch>
                      <a:fillRect/>
                    </a:stretch>
                  </pic:blipFill>
                  <pic:spPr>
                    <a:xfrm>
                      <a:off x="0" y="0"/>
                      <a:ext cx="5580000" cy="4896000"/>
                    </a:xfrm>
                    <a:prstGeom prst="rect"/>
                  </pic:spPr>
                </pic:pic>
              </a:graphicData>
            </a:graphic>
          </wp:inline>
        </w:drawing>
      </w:r>
    </w:p>
    <w:p>
      <w:pPr>
        <w:jc w:val="center"/>
      </w:pPr>
      <w:r>
        <w:rPr>
          <w:i/>
          <w:color w:val="555555"/>
          <w:sz w:val="18"/>
        </w:rPr>
        <w:t>Figure 4. Pearson correlation between missingness indicators.</w:t>
      </w:r>
    </w:p>
    <w:p>
      <w:pPr>
        <w:pStyle w:val="Heading1"/>
      </w:pPr>
      <w:r>
        <w:rPr>
          <w:rFonts w:ascii="Calibri" w:hAnsi="Calibri"/>
          <w:color w:val="1F3A5F"/>
          <w:sz w:val="30"/>
        </w:rPr>
        <w:t>6. Little's (1988) MCAR Test</w:t>
      </w:r>
    </w:p>
    <w:p>
      <w:pPr>
        <w:jc w:val="both"/>
      </w:pPr>
      <w:r>
        <w:rPr>
          <w:rFonts w:ascii="Calibri" w:hAnsi="Calibri"/>
          <w:b w:val="0"/>
          <w:i w:val="0"/>
          <w:sz w:val="22"/>
        </w:rPr>
        <w:t>Little's test formally tests the null hypothesis that the data are Missing Completely At Random. A non-significant result is consistent with MCAR; a significant result rejects MCAR and implies MAR or MNAR. Note that the test is sensitive to large sample size and may reject MCAR for trivial departures, so results are interpreted alongside pattern visualisations.</w:t>
      </w:r>
    </w:p>
    <w:p>
      <w:pPr>
        <w:pStyle w:val="Heading1"/>
      </w:pPr>
      <w:r>
        <w:rPr>
          <w:rFonts w:ascii="Calibri" w:hAnsi="Calibri"/>
          <w:color w:val="1F3A5F"/>
          <w:sz w:val="30"/>
        </w:rPr>
        <w:t>7. MAR Mechanism Tests (Section 3.4.2.2)</w:t>
      </w:r>
    </w:p>
    <w:p>
      <w:pPr>
        <w:jc w:val="both"/>
      </w:pPr>
      <w:r>
        <w:rPr>
          <w:rFonts w:ascii="Calibri" w:hAnsi="Calibri"/>
          <w:b w:val="0"/>
          <w:i w:val="0"/>
          <w:sz w:val="22"/>
        </w:rPr>
        <w:t>Each variable with non-zero missingness was tested against every other available predictor. Significant associations support an MAR mechanism: missingness on the variable can be explained by observed values of other variables.</w:t>
      </w:r>
    </w:p>
    <w:p>
      <w:r>
        <w:rPr>
          <w:rFonts w:ascii="Calibri" w:hAnsi="Calibri"/>
          <w:b w:val="0"/>
          <w:i/>
          <w:sz w:val="20"/>
        </w:rPr>
        <w:t>Table 3. MAR mechanism tests — significant associations indicate that missingness depends on observed predictors.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F3A5F" w:val="clear"/>
            <w:vAlign w:val="center"/>
          </w:tcPr>
          <w:p>
            <w:pPr>
              <w:jc w:val="center"/>
            </w:pPr>
            <w:r/>
            <w:r>
              <w:rPr>
                <w:b/>
                <w:color w:val="FFFFFF"/>
                <w:sz w:val="20"/>
              </w:rPr>
              <w:t>Missing variable</w:t>
            </w:r>
          </w:p>
        </w:tc>
        <w:tc>
          <w:tcPr>
            <w:tcW w:type="dxa" w:w="1134"/>
            <w:shd w:fill="1F3A5F" w:val="clear"/>
            <w:vAlign w:val="center"/>
          </w:tcPr>
          <w:p>
            <w:pPr>
              <w:jc w:val="center"/>
            </w:pPr>
            <w:r/>
            <w:r>
              <w:rPr>
                <w:b/>
                <w:color w:val="FFFFFF"/>
                <w:sz w:val="20"/>
              </w:rPr>
              <w:t>Tested against</w:t>
            </w:r>
          </w:p>
        </w:tc>
        <w:tc>
          <w:tcPr>
            <w:tcW w:type="dxa" w:w="1134"/>
            <w:shd w:fill="1F3A5F" w:val="clear"/>
            <w:vAlign w:val="center"/>
          </w:tcPr>
          <w:p>
            <w:pPr>
              <w:jc w:val="center"/>
            </w:pPr>
            <w:r/>
            <w:r>
              <w:rPr>
                <w:b/>
                <w:color w:val="FFFFFF"/>
                <w:sz w:val="20"/>
              </w:rPr>
              <w:t>Predictor type</w:t>
            </w:r>
          </w:p>
        </w:tc>
        <w:tc>
          <w:tcPr>
            <w:tcW w:type="dxa" w:w="1134"/>
            <w:shd w:fill="1F3A5F" w:val="clear"/>
            <w:vAlign w:val="center"/>
          </w:tcPr>
          <w:p>
            <w:pPr>
              <w:jc w:val="center"/>
            </w:pPr>
            <w:r/>
            <w:r>
              <w:rPr>
                <w:b/>
                <w:color w:val="FFFFFF"/>
                <w:sz w:val="20"/>
              </w:rPr>
              <w:t>Test</w:t>
            </w:r>
          </w:p>
        </w:tc>
        <w:tc>
          <w:tcPr>
            <w:tcW w:type="dxa" w:w="1134"/>
            <w:shd w:fill="1F3A5F" w:val="clear"/>
            <w:vAlign w:val="center"/>
          </w:tcPr>
          <w:p>
            <w:pPr>
              <w:jc w:val="center"/>
            </w:pPr>
            <w:r/>
            <w:r>
              <w:rPr>
                <w:b/>
                <w:color w:val="FFFFFF"/>
                <w:sz w:val="20"/>
              </w:rPr>
              <w:t>Statistic</w:t>
            </w:r>
          </w:p>
        </w:tc>
        <w:tc>
          <w:tcPr>
            <w:tcW w:type="dxa" w:w="1134"/>
            <w:shd w:fill="1F3A5F" w:val="clear"/>
            <w:vAlign w:val="center"/>
          </w:tcPr>
          <w:p>
            <w:pPr>
              <w:jc w:val="center"/>
            </w:pPr>
            <w:r/>
            <w:r>
              <w:rPr>
                <w:b/>
                <w:color w:val="FFFFFF"/>
                <w:sz w:val="20"/>
              </w:rPr>
              <w:t>df</w:t>
            </w:r>
          </w:p>
        </w:tc>
        <w:tc>
          <w:tcPr>
            <w:tcW w:type="dxa" w:w="1134"/>
            <w:shd w:fill="1F3A5F" w:val="clear"/>
            <w:vAlign w:val="center"/>
          </w:tcPr>
          <w:p>
            <w:pPr>
              <w:jc w:val="center"/>
            </w:pPr>
            <w:r/>
            <w:r>
              <w:rPr>
                <w:b/>
                <w:color w:val="FFFFFF"/>
                <w:sz w:val="20"/>
              </w:rPr>
              <w:t>p-value</w:t>
            </w:r>
          </w:p>
        </w:tc>
        <w:tc>
          <w:tcPr>
            <w:tcW w:type="dxa" w:w="1134"/>
            <w:shd w:fill="1F3A5F" w:val="clear"/>
            <w:vAlign w:val="center"/>
          </w:tcPr>
          <w:p>
            <w:pPr>
              <w:jc w:val="center"/>
            </w:pPr>
            <w:r/>
            <w:r>
              <w:rPr>
                <w:b/>
                <w:color w:val="FFFFFF"/>
                <w:sz w:val="20"/>
              </w:rPr>
              <w:t>Significant association</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3654.119</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15897.773</w:t>
            </w:r>
          </w:p>
        </w:tc>
        <w:tc>
          <w:tcPr>
            <w:tcW w:type="dxa" w:w="1134"/>
            <w:vAlign w:val="center"/>
            <w:shd w:fill="F2F5F9" w:val="clear"/>
          </w:tcPr>
          <w:p>
            <w:r/>
            <w:r>
              <w:rPr>
                <w:rFonts w:ascii="Calibri" w:hAnsi="Calibri"/>
                <w:sz w:val="18"/>
              </w:rPr>
              <w:t>5</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7.808</w:t>
            </w:r>
          </w:p>
        </w:tc>
        <w:tc>
          <w:tcPr>
            <w:tcW w:type="dxa" w:w="1134"/>
            <w:vAlign w:val="center"/>
          </w:tcPr>
          <w:p>
            <w:r/>
            <w:r>
              <w:rPr>
                <w:rFonts w:ascii="Calibri" w:hAnsi="Calibri"/>
                <w:sz w:val="18"/>
              </w:rPr>
              <w:t>1</w:t>
            </w:r>
          </w:p>
        </w:tc>
        <w:tc>
          <w:tcPr>
            <w:tcW w:type="dxa" w:w="1134"/>
            <w:vAlign w:val="center"/>
          </w:tcPr>
          <w:p>
            <w:r/>
            <w:r>
              <w:rPr>
                <w:rFonts w:ascii="Calibri" w:hAnsi="Calibri"/>
                <w:sz w:val="18"/>
              </w:rPr>
              <w:t>0.0052</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1613.323</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57.681</w:t>
            </w:r>
          </w:p>
        </w:tc>
        <w:tc>
          <w:tcPr>
            <w:tcW w:type="dxa" w:w="1134"/>
            <w:vAlign w:val="center"/>
          </w:tcPr>
          <w:p>
            <w:r/>
            <w:r>
              <w:rPr>
                <w:rFonts w:ascii="Calibri" w:hAnsi="Calibri"/>
                <w:sz w:val="18"/>
              </w:rPr>
              <w:t>4</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Birth_Weight(grams)</w:t>
            </w:r>
          </w:p>
        </w:tc>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2838.663</w:t>
            </w:r>
          </w:p>
        </w:tc>
        <w:tc>
          <w:tcPr>
            <w:tcW w:type="dxa" w:w="1134"/>
            <w:vAlign w:val="center"/>
            <w:shd w:fill="F2F5F9" w:val="clear"/>
          </w:tcPr>
          <w:p>
            <w:r/>
            <w:r>
              <w:rPr>
                <w:rFonts w:ascii="Calibri" w:hAnsi="Calibri"/>
                <w:sz w:val="18"/>
              </w:rPr>
              <w:t>8</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Birth_Weight(grams)</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4261400693.0</w:t>
            </w:r>
          </w:p>
        </w:tc>
        <w:tc>
          <w:tcPr>
            <w:tcW w:type="dxa" w:w="1134"/>
            <w:vAlign w:val="center"/>
          </w:tcPr>
          <w:p>
            <w:r/>
            <w:r>
              <w:rPr>
                <w:rFonts w:ascii="Calibri" w:hAnsi="Calibri"/>
                <w:sz w:val="18"/>
              </w:rPr>
              <w:t>—</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Birth_Order2.0</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1313.511</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Birth_Order2.0</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32524.74</w:t>
            </w:r>
          </w:p>
        </w:tc>
        <w:tc>
          <w:tcPr>
            <w:tcW w:type="dxa" w:w="1134"/>
            <w:vAlign w:val="center"/>
          </w:tcPr>
          <w:p>
            <w:r/>
            <w:r>
              <w:rPr>
                <w:rFonts w:ascii="Calibri" w:hAnsi="Calibri"/>
                <w:sz w:val="18"/>
              </w:rPr>
              <w:t>5</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Birth_Order2.0</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3.609</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0.0575</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Birth_Order2.0</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601.292</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Birth_Order2.0</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126.351</w:t>
            </w:r>
          </w:p>
        </w:tc>
        <w:tc>
          <w:tcPr>
            <w:tcW w:type="dxa" w:w="1134"/>
            <w:vAlign w:val="center"/>
            <w:shd w:fill="F2F5F9" w:val="clear"/>
          </w:tcPr>
          <w:p>
            <w:r/>
            <w:r>
              <w:rPr>
                <w:rFonts w:ascii="Calibri" w:hAnsi="Calibri"/>
                <w:sz w:val="18"/>
              </w:rPr>
              <w:t>4</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Birth_Order2.0</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3755946193.0</w:t>
            </w:r>
          </w:p>
        </w:tc>
        <w:tc>
          <w:tcPr>
            <w:tcW w:type="dxa" w:w="1134"/>
            <w:vAlign w:val="center"/>
          </w:tcPr>
          <w:p>
            <w:r/>
            <w:r>
              <w:rPr>
                <w:rFonts w:ascii="Calibri" w:hAnsi="Calibri"/>
                <w:sz w:val="18"/>
              </w:rPr>
              <w:t>—</w:t>
            </w:r>
          </w:p>
        </w:tc>
        <w:tc>
          <w:tcPr>
            <w:tcW w:type="dxa" w:w="1134"/>
            <w:vAlign w:val="center"/>
          </w:tcPr>
          <w:p>
            <w:r/>
            <w:r>
              <w:rPr>
                <w:rFonts w:ascii="Calibri" w:hAnsi="Calibri"/>
                <w:sz w:val="18"/>
              </w:rPr>
              <w:t>0.0162</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1313.511</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32524.74</w:t>
            </w:r>
          </w:p>
        </w:tc>
        <w:tc>
          <w:tcPr>
            <w:tcW w:type="dxa" w:w="1134"/>
            <w:vAlign w:val="center"/>
          </w:tcPr>
          <w:p>
            <w:r/>
            <w:r>
              <w:rPr>
                <w:rFonts w:ascii="Calibri" w:hAnsi="Calibri"/>
                <w:sz w:val="18"/>
              </w:rPr>
              <w:t>5</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3.609</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0.0575</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601.292</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126.351</w:t>
            </w:r>
          </w:p>
        </w:tc>
        <w:tc>
          <w:tcPr>
            <w:tcW w:type="dxa" w:w="1134"/>
            <w:vAlign w:val="center"/>
            <w:shd w:fill="F2F5F9" w:val="clear"/>
          </w:tcPr>
          <w:p>
            <w:r/>
            <w:r>
              <w:rPr>
                <w:rFonts w:ascii="Calibri" w:hAnsi="Calibri"/>
                <w:sz w:val="18"/>
              </w:rPr>
              <w:t>4</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3755946193.0</w:t>
            </w:r>
          </w:p>
        </w:tc>
        <w:tc>
          <w:tcPr>
            <w:tcW w:type="dxa" w:w="1134"/>
            <w:vAlign w:val="center"/>
          </w:tcPr>
          <w:p>
            <w:r/>
            <w:r>
              <w:rPr>
                <w:rFonts w:ascii="Calibri" w:hAnsi="Calibri"/>
                <w:sz w:val="18"/>
              </w:rPr>
              <w:t>—</w:t>
            </w:r>
          </w:p>
        </w:tc>
        <w:tc>
          <w:tcPr>
            <w:tcW w:type="dxa" w:w="1134"/>
            <w:vAlign w:val="center"/>
          </w:tcPr>
          <w:p>
            <w:r/>
            <w:r>
              <w:rPr>
                <w:rFonts w:ascii="Calibri" w:hAnsi="Calibri"/>
                <w:sz w:val="18"/>
              </w:rPr>
              <w:t>0.0162</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16380.757</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183.575</w:t>
            </w:r>
          </w:p>
        </w:tc>
        <w:tc>
          <w:tcPr>
            <w:tcW w:type="dxa" w:w="1134"/>
            <w:vAlign w:val="center"/>
          </w:tcPr>
          <w:p>
            <w:r/>
            <w:r>
              <w:rPr>
                <w:rFonts w:ascii="Calibri" w:hAnsi="Calibri"/>
                <w:sz w:val="18"/>
              </w:rPr>
              <w:t>5</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5.31</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0.0212</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240.984</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3.212</w:t>
            </w:r>
          </w:p>
        </w:tc>
        <w:tc>
          <w:tcPr>
            <w:tcW w:type="dxa" w:w="1134"/>
            <w:vAlign w:val="center"/>
            <w:shd w:fill="F2F5F9" w:val="clear"/>
          </w:tcPr>
          <w:p>
            <w:r/>
            <w:r>
              <w:rPr>
                <w:rFonts w:ascii="Calibri" w:hAnsi="Calibri"/>
                <w:sz w:val="18"/>
              </w:rPr>
              <w:t>4</w:t>
            </w:r>
          </w:p>
        </w:tc>
        <w:tc>
          <w:tcPr>
            <w:tcW w:type="dxa" w:w="1134"/>
            <w:vAlign w:val="center"/>
            <w:shd w:fill="F2F5F9" w:val="clear"/>
          </w:tcPr>
          <w:p>
            <w:r/>
            <w:r>
              <w:rPr>
                <w:rFonts w:ascii="Calibri" w:hAnsi="Calibri"/>
                <w:sz w:val="18"/>
              </w:rPr>
              <w:t>0.5230</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Race_of_Father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186.902</w:t>
            </w:r>
          </w:p>
        </w:tc>
        <w:tc>
          <w:tcPr>
            <w:tcW w:type="dxa" w:w="1134"/>
            <w:vAlign w:val="center"/>
          </w:tcPr>
          <w:p>
            <w:r/>
            <w:r>
              <w:rPr>
                <w:rFonts w:ascii="Calibri" w:hAnsi="Calibri"/>
                <w:sz w:val="18"/>
              </w:rPr>
              <w:t>8</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Race_of_Father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157972994.5</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65.116</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1.506</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0.2198</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3.604</w:t>
            </w:r>
          </w:p>
        </w:tc>
        <w:tc>
          <w:tcPr>
            <w:tcW w:type="dxa" w:w="1134"/>
            <w:vAlign w:val="center"/>
          </w:tcPr>
          <w:p>
            <w:r/>
            <w:r>
              <w:rPr>
                <w:rFonts w:ascii="Calibri" w:hAnsi="Calibri"/>
                <w:sz w:val="18"/>
              </w:rPr>
              <w:t>1</w:t>
            </w:r>
          </w:p>
        </w:tc>
        <w:tc>
          <w:tcPr>
            <w:tcW w:type="dxa" w:w="1134"/>
            <w:vAlign w:val="center"/>
          </w:tcPr>
          <w:p>
            <w:r/>
            <w:r>
              <w:rPr>
                <w:rFonts w:ascii="Calibri" w:hAnsi="Calibri"/>
                <w:sz w:val="18"/>
              </w:rPr>
              <w:t>0.0576</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32.351</w:t>
            </w:r>
          </w:p>
        </w:tc>
        <w:tc>
          <w:tcPr>
            <w:tcW w:type="dxa" w:w="1134"/>
            <w:vAlign w:val="center"/>
            <w:shd w:fill="F2F5F9" w:val="clear"/>
          </w:tcPr>
          <w:p>
            <w:r/>
            <w:r>
              <w:rPr>
                <w:rFonts w:ascii="Calibri" w:hAnsi="Calibri"/>
                <w:sz w:val="18"/>
              </w:rPr>
              <w:t>4</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3.763</w:t>
            </w:r>
          </w:p>
        </w:tc>
        <w:tc>
          <w:tcPr>
            <w:tcW w:type="dxa" w:w="1134"/>
            <w:vAlign w:val="center"/>
          </w:tcPr>
          <w:p>
            <w:r/>
            <w:r>
              <w:rPr>
                <w:rFonts w:ascii="Calibri" w:hAnsi="Calibri"/>
                <w:sz w:val="18"/>
              </w:rPr>
              <w:t>8</w:t>
            </w:r>
          </w:p>
        </w:tc>
        <w:tc>
          <w:tcPr>
            <w:tcW w:type="dxa" w:w="1134"/>
            <w:vAlign w:val="center"/>
          </w:tcPr>
          <w:p>
            <w:r/>
            <w:r>
              <w:rPr>
                <w:rFonts w:ascii="Calibri" w:hAnsi="Calibri"/>
                <w:sz w:val="18"/>
              </w:rPr>
              <w:t>0.8779</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81036189.0</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Age of Mother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1452.657</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36.109</w:t>
            </w:r>
          </w:p>
        </w:tc>
        <w:tc>
          <w:tcPr>
            <w:tcW w:type="dxa" w:w="1134"/>
            <w:vAlign w:val="center"/>
            <w:shd w:fill="F2F5F9" w:val="clear"/>
          </w:tcPr>
          <w:p>
            <w:r/>
            <w:r>
              <w:rPr>
                <w:rFonts w:ascii="Calibri" w:hAnsi="Calibri"/>
                <w:sz w:val="18"/>
              </w:rPr>
              <w:t>5</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Age of Mother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0.152</w:t>
            </w:r>
          </w:p>
        </w:tc>
        <w:tc>
          <w:tcPr>
            <w:tcW w:type="dxa" w:w="1134"/>
            <w:vAlign w:val="center"/>
          </w:tcPr>
          <w:p>
            <w:r/>
            <w:r>
              <w:rPr>
                <w:rFonts w:ascii="Calibri" w:hAnsi="Calibri"/>
                <w:sz w:val="18"/>
              </w:rPr>
              <w:t>1</w:t>
            </w:r>
          </w:p>
        </w:tc>
        <w:tc>
          <w:tcPr>
            <w:tcW w:type="dxa" w:w="1134"/>
            <w:vAlign w:val="center"/>
          </w:tcPr>
          <w:p>
            <w:r/>
            <w:r>
              <w:rPr>
                <w:rFonts w:ascii="Calibri" w:hAnsi="Calibri"/>
                <w:sz w:val="18"/>
              </w:rPr>
              <w:t>0.6966</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261.805</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Age of Mother</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1.557</w:t>
            </w:r>
          </w:p>
        </w:tc>
        <w:tc>
          <w:tcPr>
            <w:tcW w:type="dxa" w:w="1134"/>
            <w:vAlign w:val="center"/>
          </w:tcPr>
          <w:p>
            <w:r/>
            <w:r>
              <w:rPr>
                <w:rFonts w:ascii="Calibri" w:hAnsi="Calibri"/>
                <w:sz w:val="18"/>
              </w:rPr>
              <w:t>4</w:t>
            </w:r>
          </w:p>
        </w:tc>
        <w:tc>
          <w:tcPr>
            <w:tcW w:type="dxa" w:w="1134"/>
            <w:vAlign w:val="center"/>
          </w:tcPr>
          <w:p>
            <w:r/>
            <w:r>
              <w:rPr>
                <w:rFonts w:ascii="Calibri" w:hAnsi="Calibri"/>
                <w:sz w:val="18"/>
              </w:rPr>
              <w:t>0.8165</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64.255</w:t>
            </w:r>
          </w:p>
        </w:tc>
        <w:tc>
          <w:tcPr>
            <w:tcW w:type="dxa" w:w="1134"/>
            <w:vAlign w:val="center"/>
            <w:shd w:fill="F2F5F9" w:val="clear"/>
          </w:tcPr>
          <w:p>
            <w:r/>
            <w:r>
              <w:rPr>
                <w:rFonts w:ascii="Calibri" w:hAnsi="Calibri"/>
                <w:sz w:val="18"/>
              </w:rPr>
              <w:t>8</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Marital_Status</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3.825</w:t>
            </w:r>
          </w:p>
        </w:tc>
        <w:tc>
          <w:tcPr>
            <w:tcW w:type="dxa" w:w="1134"/>
            <w:vAlign w:val="center"/>
          </w:tcPr>
          <w:p>
            <w:r/>
            <w:r>
              <w:rPr>
                <w:rFonts w:ascii="Calibri" w:hAnsi="Calibri"/>
                <w:sz w:val="18"/>
              </w:rPr>
              <w:t>5</w:t>
            </w:r>
          </w:p>
        </w:tc>
        <w:tc>
          <w:tcPr>
            <w:tcW w:type="dxa" w:w="1134"/>
            <w:vAlign w:val="center"/>
          </w:tcPr>
          <w:p>
            <w:r/>
            <w:r>
              <w:rPr>
                <w:rFonts w:ascii="Calibri" w:hAnsi="Calibri"/>
                <w:sz w:val="18"/>
              </w:rPr>
              <w:t>0.5748</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0.346</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0.5566</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Marital_Status</w:t>
            </w:r>
          </w:p>
        </w:tc>
        <w:tc>
          <w:tcPr>
            <w:tcW w:type="dxa" w:w="1134"/>
            <w:vAlign w:val="center"/>
          </w:tcPr>
          <w:p>
            <w:r/>
            <w:r>
              <w:rPr>
                <w:rFonts w:ascii="Calibri" w:hAnsi="Calibri"/>
                <w:sz w:val="18"/>
              </w:rPr>
              <w:t>Hospital or Not</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4.841</w:t>
            </w:r>
          </w:p>
        </w:tc>
        <w:tc>
          <w:tcPr>
            <w:tcW w:type="dxa" w:w="1134"/>
            <w:vAlign w:val="center"/>
          </w:tcPr>
          <w:p>
            <w:r/>
            <w:r>
              <w:rPr>
                <w:rFonts w:ascii="Calibri" w:hAnsi="Calibri"/>
                <w:sz w:val="18"/>
              </w:rPr>
              <w:t>1</w:t>
            </w:r>
          </w:p>
        </w:tc>
        <w:tc>
          <w:tcPr>
            <w:tcW w:type="dxa" w:w="1134"/>
            <w:vAlign w:val="center"/>
          </w:tcPr>
          <w:p>
            <w:r/>
            <w:r>
              <w:rPr>
                <w:rFonts w:ascii="Calibri" w:hAnsi="Calibri"/>
                <w:sz w:val="18"/>
              </w:rPr>
              <w:t>0.0278</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Multiple_Birth_Status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0.172</w:t>
            </w:r>
          </w:p>
        </w:tc>
        <w:tc>
          <w:tcPr>
            <w:tcW w:type="dxa" w:w="1134"/>
            <w:vAlign w:val="center"/>
            <w:shd w:fill="F2F5F9" w:val="clear"/>
          </w:tcPr>
          <w:p>
            <w:r/>
            <w:r>
              <w:rPr>
                <w:rFonts w:ascii="Calibri" w:hAnsi="Calibri"/>
                <w:sz w:val="18"/>
              </w:rPr>
              <w:t>4</w:t>
            </w:r>
          </w:p>
        </w:tc>
        <w:tc>
          <w:tcPr>
            <w:tcW w:type="dxa" w:w="1134"/>
            <w:vAlign w:val="center"/>
            <w:shd w:fill="F2F5F9" w:val="clear"/>
          </w:tcPr>
          <w:p>
            <w:r/>
            <w:r>
              <w:rPr>
                <w:rFonts w:ascii="Calibri" w:hAnsi="Calibri"/>
                <w:sz w:val="18"/>
              </w:rPr>
              <w:t>0.9965</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Marital_Status</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2.774</w:t>
            </w:r>
          </w:p>
        </w:tc>
        <w:tc>
          <w:tcPr>
            <w:tcW w:type="dxa" w:w="1134"/>
            <w:vAlign w:val="center"/>
          </w:tcPr>
          <w:p>
            <w:r/>
            <w:r>
              <w:rPr>
                <w:rFonts w:ascii="Calibri" w:hAnsi="Calibri"/>
                <w:sz w:val="18"/>
              </w:rPr>
              <w:t>8</w:t>
            </w:r>
          </w:p>
        </w:tc>
        <w:tc>
          <w:tcPr>
            <w:tcW w:type="dxa" w:w="1134"/>
            <w:vAlign w:val="center"/>
          </w:tcPr>
          <w:p>
            <w:r/>
            <w:r>
              <w:rPr>
                <w:rFonts w:ascii="Calibri" w:hAnsi="Calibri"/>
                <w:sz w:val="18"/>
              </w:rPr>
              <w:t>0.9477</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1.0000</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Gender</w:t>
            </w:r>
          </w:p>
        </w:tc>
        <w:tc>
          <w:tcPr>
            <w:tcW w:type="dxa" w:w="1134"/>
            <w:vAlign w:val="center"/>
          </w:tcPr>
          <w:p>
            <w:r/>
            <w:r>
              <w:rPr>
                <w:rFonts w:ascii="Calibri" w:hAnsi="Calibri"/>
                <w:sz w:val="18"/>
              </w:rPr>
              <w:t>Race_of_Mother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0.891</w:t>
            </w:r>
          </w:p>
        </w:tc>
        <w:tc>
          <w:tcPr>
            <w:tcW w:type="dxa" w:w="1134"/>
            <w:vAlign w:val="center"/>
          </w:tcPr>
          <w:p>
            <w:r/>
            <w:r>
              <w:rPr>
                <w:rFonts w:ascii="Calibri" w:hAnsi="Calibri"/>
                <w:sz w:val="18"/>
              </w:rPr>
              <w:t>5</w:t>
            </w:r>
          </w:p>
        </w:tc>
        <w:tc>
          <w:tcPr>
            <w:tcW w:type="dxa" w:w="1134"/>
            <w:vAlign w:val="center"/>
          </w:tcPr>
          <w:p>
            <w:r/>
            <w:r>
              <w:rPr>
                <w:rFonts w:ascii="Calibri" w:hAnsi="Calibri"/>
                <w:sz w:val="18"/>
              </w:rPr>
              <w:t>0.9709</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1.0000</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Gender</w:t>
            </w:r>
          </w:p>
        </w:tc>
        <w:tc>
          <w:tcPr>
            <w:tcW w:type="dxa" w:w="1134"/>
            <w:vAlign w:val="center"/>
          </w:tcPr>
          <w:p>
            <w:r/>
            <w:r>
              <w:rPr>
                <w:rFonts w:ascii="Calibri" w:hAnsi="Calibri"/>
                <w:sz w:val="18"/>
              </w:rPr>
              <w:t>Multiple_Birth_Status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0.02</w:t>
            </w:r>
          </w:p>
        </w:tc>
        <w:tc>
          <w:tcPr>
            <w:tcW w:type="dxa" w:w="1134"/>
            <w:vAlign w:val="center"/>
          </w:tcPr>
          <w:p>
            <w:r/>
            <w:r>
              <w:rPr>
                <w:rFonts w:ascii="Calibri" w:hAnsi="Calibri"/>
                <w:sz w:val="18"/>
              </w:rPr>
              <w:t>4</w:t>
            </w:r>
          </w:p>
        </w:tc>
        <w:tc>
          <w:tcPr>
            <w:tcW w:type="dxa" w:w="1134"/>
            <w:vAlign w:val="center"/>
          </w:tcPr>
          <w:p>
            <w:r/>
            <w:r>
              <w:rPr>
                <w:rFonts w:ascii="Calibri" w:hAnsi="Calibri"/>
                <w:sz w:val="18"/>
              </w:rPr>
              <w:t>0.9999</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Gender</w:t>
            </w:r>
          </w:p>
        </w:tc>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3.526</w:t>
            </w:r>
          </w:p>
        </w:tc>
        <w:tc>
          <w:tcPr>
            <w:tcW w:type="dxa" w:w="1134"/>
            <w:vAlign w:val="center"/>
            <w:shd w:fill="F2F5F9" w:val="clear"/>
          </w:tcPr>
          <w:p>
            <w:r/>
            <w:r>
              <w:rPr>
                <w:rFonts w:ascii="Calibri" w:hAnsi="Calibri"/>
                <w:sz w:val="18"/>
              </w:rPr>
              <w:t>8</w:t>
            </w:r>
          </w:p>
        </w:tc>
        <w:tc>
          <w:tcPr>
            <w:tcW w:type="dxa" w:w="1134"/>
            <w:vAlign w:val="center"/>
            <w:shd w:fill="F2F5F9" w:val="clear"/>
          </w:tcPr>
          <w:p>
            <w:r/>
            <w:r>
              <w:rPr>
                <w:rFonts w:ascii="Calibri" w:hAnsi="Calibri"/>
                <w:sz w:val="18"/>
              </w:rPr>
              <w:t>0.8971</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Gender</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380879.5</w:t>
            </w:r>
          </w:p>
        </w:tc>
        <w:tc>
          <w:tcPr>
            <w:tcW w:type="dxa" w:w="1134"/>
            <w:vAlign w:val="center"/>
          </w:tcPr>
          <w:p>
            <w:r/>
            <w:r>
              <w:rPr>
                <w:rFonts w:ascii="Calibri" w:hAnsi="Calibri"/>
                <w:sz w:val="18"/>
              </w:rPr>
              <w:t>—</w:t>
            </w:r>
          </w:p>
        </w:tc>
        <w:tc>
          <w:tcPr>
            <w:tcW w:type="dxa" w:w="1134"/>
            <w:vAlign w:val="center"/>
          </w:tcPr>
          <w:p>
            <w:r/>
            <w:r>
              <w:rPr>
                <w:rFonts w:ascii="Calibri" w:hAnsi="Calibri"/>
                <w:sz w:val="18"/>
              </w:rPr>
              <w:t>0.5188</w:t>
            </w:r>
          </w:p>
        </w:tc>
        <w:tc>
          <w:tcPr>
            <w:tcW w:type="dxa" w:w="1134"/>
            <w:vAlign w:val="center"/>
          </w:tcPr>
          <w:p>
            <w:r/>
            <w:r>
              <w:rPr>
                <w:rFonts w:ascii="Calibri" w:hAnsi="Calibri"/>
                <w:sz w:val="18"/>
              </w:rPr>
              <w:t>No</w:t>
            </w:r>
          </w:p>
        </w:tc>
      </w:tr>
    </w:tbl>
    <w:p>
      <w:pPr>
        <w:pStyle w:val="Heading1"/>
      </w:pPr>
      <w:r>
        <w:rPr>
          <w:rFonts w:ascii="Calibri" w:hAnsi="Calibri"/>
          <w:color w:val="1F3A5F"/>
          <w:sz w:val="30"/>
        </w:rPr>
        <w:t>8. Birth Weight × Delivery Setting (Critical MAR Test)</w:t>
      </w:r>
    </w:p>
    <w:p>
      <w:pPr>
        <w:jc w:val="both"/>
      </w:pPr>
      <w:r>
        <w:rPr>
          <w:rFonts w:ascii="Calibri" w:hAnsi="Calibri"/>
          <w:b w:val="0"/>
          <w:i w:val="0"/>
          <w:sz w:val="22"/>
        </w:rPr>
        <w:t>This is the single most important MAR test for the study. Birth weight is expected to have higher missingness among non-hospital deliveries because accurate measurement requires clinical weighing equipment unavailable in many home delivery settings. Confirmation of this pattern supports the validity of listwise deletion when delivery setting is included in the regression models.</w:t>
      </w:r>
    </w:p>
    <w:p>
      <w:r>
        <w:rPr>
          <w:rFonts w:ascii="Calibri" w:hAnsi="Calibri"/>
          <w:b w:val="0"/>
          <w:i w:val="0"/>
          <w:sz w:val="22"/>
        </w:rPr>
      </w:r>
    </w:p>
    <w:p>
      <w:r>
        <w:rPr>
          <w:rFonts w:ascii="Calibri" w:hAnsi="Calibri"/>
          <w:b/>
          <w:i w:val="0"/>
          <w:sz w:val="22"/>
        </w:rPr>
        <w:t>Test statistics:</w:t>
      </w:r>
    </w:p>
    <w:p>
      <w:pPr>
        <w:pStyle w:val="ListBullet"/>
      </w:pPr>
      <w:r>
        <w:rPr>
          <w:rFonts w:ascii="Calibri" w:hAnsi="Calibri"/>
          <w:sz w:val="22"/>
        </w:rPr>
        <w:t>χ² = 15.220, df = 8</w:t>
      </w:r>
    </w:p>
    <w:p>
      <w:pPr>
        <w:pStyle w:val="ListBullet"/>
      </w:pPr>
      <w:r>
        <w:rPr>
          <w:rFonts w:ascii="Calibri" w:hAnsi="Calibri"/>
          <w:sz w:val="22"/>
        </w:rPr>
        <w:t>p-value = 0.0550</w:t>
      </w:r>
    </w:p>
    <w:p>
      <w:r>
        <w:rPr>
          <w:rFonts w:ascii="Calibri" w:hAnsi="Calibri"/>
          <w:b w:val="0"/>
          <w:i w:val="0"/>
          <w:sz w:val="22"/>
        </w:rPr>
      </w:r>
    </w:p>
    <w:p>
      <w:pPr>
        <w:jc w:val="both"/>
      </w:pPr>
      <w:r>
        <w:rPr>
          <w:rFonts w:ascii="Calibri" w:hAnsi="Calibri"/>
          <w:b w:val="0"/>
          <w:i/>
          <w:sz w:val="22"/>
        </w:rPr>
        <w:t>Conclusion: No significant association detected. The MAR mechanism via delivery setting is not supported in this dataset; sensitivity analysis using multiple imputation may be warranted (Sterne et al., 2009).</w:t>
      </w:r>
    </w:p>
    <w:p>
      <w:r>
        <w:rPr>
          <w:rFonts w:ascii="Calibri" w:hAnsi="Calibri"/>
          <w:b w:val="0"/>
          <w:i/>
          <w:sz w:val="18"/>
        </w:rPr>
        <w:t>[Figure not found: fig5_bw_missingness_by_setting.png]</w:t>
      </w:r>
    </w:p>
    <w:p>
      <w:pPr>
        <w:pStyle w:val="Heading1"/>
      </w:pPr>
      <w:r>
        <w:rPr>
          <w:rFonts w:ascii="Calibri" w:hAnsi="Calibri"/>
          <w:color w:val="1F3A5F"/>
          <w:sz w:val="30"/>
        </w:rPr>
        <w:t>9. Listwise Deletion Results (Section 3.4.2.3)</w:t>
      </w:r>
    </w:p>
    <w:p>
      <w:pPr>
        <w:jc w:val="both"/>
      </w:pPr>
      <w:r>
        <w:rPr>
          <w:rFonts w:ascii="Calibri" w:hAnsi="Calibri"/>
          <w:b w:val="0"/>
          <w:i w:val="0"/>
          <w:sz w:val="22"/>
        </w:rPr>
        <w:t>Listwise deletion was applied to the analytical variable set; records missing on any predictor or outcome were removed.</w:t>
      </w:r>
    </w:p>
    <w:p>
      <w:pPr>
        <w:pStyle w:val="Heading1"/>
      </w:pPr>
      <w:r>
        <w:rPr>
          <w:rFonts w:ascii="Calibri" w:hAnsi="Calibri"/>
          <w:color w:val="1F3A5F"/>
          <w:sz w:val="30"/>
        </w:rPr>
        <w:t>10. Sensitivity Analysis: Retained vs Dropped (Section 3.4.2.4)</w:t>
      </w:r>
    </w:p>
    <w:p>
      <w:pPr>
        <w:jc w:val="both"/>
      </w:pPr>
      <w:r>
        <w:rPr>
          <w:rFonts w:ascii="Calibri" w:hAnsi="Calibri"/>
          <w:b w:val="0"/>
          <w:i w:val="0"/>
          <w:sz w:val="22"/>
        </w:rPr>
        <w:t>Characteristics of retained records were compared with those dropped by listwise deletion to verify that the analytical sample remains representative. Significant differences are expected in large datasets and do not necessarily invalidate listwise deletion — the magnitude of difference (descriptive statistics) is what matters substantively.</w:t>
      </w:r>
    </w:p>
    <w:p>
      <w:r>
        <w:rPr>
          <w:rFonts w:ascii="Calibri" w:hAnsi="Calibri"/>
          <w:b w:val="0"/>
          <w:i/>
          <w:sz w:val="20"/>
        </w:rPr>
        <w:t>Table 5. Comparison of retained vs dropped records.</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F3A5F" w:val="clear"/>
            <w:vAlign w:val="center"/>
          </w:tcPr>
          <w:p>
            <w:pPr>
              <w:jc w:val="center"/>
            </w:pPr>
            <w:r/>
            <w:r>
              <w:rPr>
                <w:b/>
                <w:color w:val="FFFFFF"/>
                <w:sz w:val="20"/>
              </w:rPr>
              <w:t>Variable</w:t>
            </w:r>
          </w:p>
        </w:tc>
        <w:tc>
          <w:tcPr>
            <w:tcW w:type="dxa" w:w="1008"/>
            <w:shd w:fill="1F3A5F" w:val="clear"/>
            <w:vAlign w:val="center"/>
          </w:tcPr>
          <w:p>
            <w:pPr>
              <w:jc w:val="center"/>
            </w:pPr>
            <w:r/>
            <w:r>
              <w:rPr>
                <w:b/>
                <w:color w:val="FFFFFF"/>
                <w:sz w:val="20"/>
              </w:rPr>
              <w:t>Type</w:t>
            </w:r>
          </w:p>
        </w:tc>
        <w:tc>
          <w:tcPr>
            <w:tcW w:type="dxa" w:w="1008"/>
            <w:shd w:fill="1F3A5F" w:val="clear"/>
            <w:vAlign w:val="center"/>
          </w:tcPr>
          <w:p>
            <w:pPr>
              <w:jc w:val="center"/>
            </w:pPr>
            <w:r/>
            <w:r>
              <w:rPr>
                <w:b/>
                <w:color w:val="FFFFFF"/>
                <w:sz w:val="20"/>
              </w:rPr>
              <w:t>Retained (mean)</w:t>
            </w:r>
          </w:p>
        </w:tc>
        <w:tc>
          <w:tcPr>
            <w:tcW w:type="dxa" w:w="1008"/>
            <w:shd w:fill="1F3A5F" w:val="clear"/>
            <w:vAlign w:val="center"/>
          </w:tcPr>
          <w:p>
            <w:pPr>
              <w:jc w:val="center"/>
            </w:pPr>
            <w:r/>
            <w:r>
              <w:rPr>
                <w:b/>
                <w:color w:val="FFFFFF"/>
                <w:sz w:val="20"/>
              </w:rPr>
              <w:t>Dropped (mean)</w:t>
            </w:r>
          </w:p>
        </w:tc>
        <w:tc>
          <w:tcPr>
            <w:tcW w:type="dxa" w:w="1008"/>
            <w:shd w:fill="1F3A5F" w:val="clear"/>
            <w:vAlign w:val="center"/>
          </w:tcPr>
          <w:p>
            <w:pPr>
              <w:jc w:val="center"/>
            </w:pPr>
            <w:r/>
            <w:r>
              <w:rPr>
                <w:b/>
                <w:color w:val="FFFFFF"/>
                <w:sz w:val="20"/>
              </w:rPr>
              <w:t>Retained (median)</w:t>
            </w:r>
          </w:p>
        </w:tc>
        <w:tc>
          <w:tcPr>
            <w:tcW w:type="dxa" w:w="1008"/>
            <w:shd w:fill="1F3A5F" w:val="clear"/>
            <w:vAlign w:val="center"/>
          </w:tcPr>
          <w:p>
            <w:pPr>
              <w:jc w:val="center"/>
            </w:pPr>
            <w:r/>
            <w:r>
              <w:rPr>
                <w:b/>
                <w:color w:val="FFFFFF"/>
                <w:sz w:val="20"/>
              </w:rPr>
              <w:t>Dropped (median)</w:t>
            </w:r>
          </w:p>
        </w:tc>
        <w:tc>
          <w:tcPr>
            <w:tcW w:type="dxa" w:w="1008"/>
            <w:shd w:fill="1F3A5F" w:val="clear"/>
            <w:vAlign w:val="center"/>
          </w:tcPr>
          <w:p>
            <w:pPr>
              <w:jc w:val="center"/>
            </w:pPr>
            <w:r/>
            <w:r>
              <w:rPr>
                <w:b/>
                <w:color w:val="FFFFFF"/>
                <w:sz w:val="20"/>
              </w:rPr>
              <w:t>Test</w:t>
            </w:r>
          </w:p>
        </w:tc>
        <w:tc>
          <w:tcPr>
            <w:tcW w:type="dxa" w:w="1008"/>
            <w:shd w:fill="1F3A5F" w:val="clear"/>
            <w:vAlign w:val="center"/>
          </w:tcPr>
          <w:p>
            <w:pPr>
              <w:jc w:val="center"/>
            </w:pPr>
            <w:r/>
            <w:r>
              <w:rPr>
                <w:b/>
                <w:color w:val="FFFFFF"/>
                <w:sz w:val="20"/>
              </w:rPr>
              <w:t>p-value</w:t>
            </w:r>
          </w:p>
        </w:tc>
        <w:tc>
          <w:tcPr>
            <w:tcW w:type="dxa" w:w="1008"/>
            <w:shd w:fill="1F3A5F" w:val="clear"/>
            <w:vAlign w:val="center"/>
          </w:tcPr>
          <w:p>
            <w:pPr>
              <w:jc w:val="center"/>
            </w:pPr>
            <w:r/>
            <w:r>
              <w:rPr>
                <w:b/>
                <w:color w:val="FFFFFF"/>
                <w:sz w:val="20"/>
              </w:rPr>
              <w:t>Different?</w:t>
            </w:r>
          </w:p>
        </w:tc>
      </w:tr>
      <w:tr>
        <w:tc>
          <w:tcPr>
            <w:tcW w:type="dxa" w:w="1008"/>
            <w:vAlign w:val="center"/>
          </w:tcPr>
          <w:p>
            <w:r/>
            <w:r>
              <w:rPr>
                <w:rFonts w:ascii="Calibri" w:hAnsi="Calibri"/>
                <w:sz w:val="18"/>
              </w:rPr>
              <w:t>Age of Mother</w:t>
            </w:r>
          </w:p>
        </w:tc>
        <w:tc>
          <w:tcPr>
            <w:tcW w:type="dxa" w:w="1008"/>
            <w:vAlign w:val="center"/>
          </w:tcPr>
          <w:p>
            <w:r/>
            <w:r>
              <w:rPr>
                <w:rFonts w:ascii="Calibri" w:hAnsi="Calibri"/>
                <w:sz w:val="18"/>
              </w:rPr>
              <w:t>Continuous</w:t>
            </w:r>
          </w:p>
        </w:tc>
        <w:tc>
          <w:tcPr>
            <w:tcW w:type="dxa" w:w="1008"/>
            <w:vAlign w:val="center"/>
          </w:tcPr>
          <w:p>
            <w:r/>
            <w:r>
              <w:rPr>
                <w:rFonts w:ascii="Calibri" w:hAnsi="Calibri"/>
                <w:sz w:val="18"/>
              </w:rPr>
              <w:t>29.12</w:t>
            </w:r>
          </w:p>
        </w:tc>
        <w:tc>
          <w:tcPr>
            <w:tcW w:type="dxa" w:w="1008"/>
            <w:vAlign w:val="center"/>
          </w:tcPr>
          <w:p>
            <w:r/>
            <w:r>
              <w:rPr>
                <w:rFonts w:ascii="Calibri" w:hAnsi="Calibri"/>
                <w:sz w:val="18"/>
              </w:rPr>
              <w:t>29.25</w:t>
            </w:r>
          </w:p>
        </w:tc>
        <w:tc>
          <w:tcPr>
            <w:tcW w:type="dxa" w:w="1008"/>
            <w:vAlign w:val="center"/>
          </w:tcPr>
          <w:p>
            <w:r/>
            <w:r>
              <w:rPr>
                <w:rFonts w:ascii="Calibri" w:hAnsi="Calibri"/>
                <w:sz w:val="18"/>
              </w:rPr>
              <w:t>29.0</w:t>
            </w:r>
          </w:p>
        </w:tc>
        <w:tc>
          <w:tcPr>
            <w:tcW w:type="dxa" w:w="1008"/>
            <w:vAlign w:val="center"/>
          </w:tcPr>
          <w:p>
            <w:r/>
            <w:r>
              <w:rPr>
                <w:rFonts w:ascii="Calibri" w:hAnsi="Calibri"/>
                <w:sz w:val="18"/>
              </w:rPr>
              <w:t>29.0</w:t>
            </w:r>
          </w:p>
        </w:tc>
        <w:tc>
          <w:tcPr>
            <w:tcW w:type="dxa" w:w="1008"/>
            <w:vAlign w:val="center"/>
          </w:tcPr>
          <w:p>
            <w:r/>
            <w:r>
              <w:rPr>
                <w:rFonts w:ascii="Calibri" w:hAnsi="Calibri"/>
                <w:sz w:val="18"/>
              </w:rPr>
              <w:t>Mann-Whitney U</w:t>
            </w:r>
          </w:p>
        </w:tc>
        <w:tc>
          <w:tcPr>
            <w:tcW w:type="dxa" w:w="1008"/>
            <w:vAlign w:val="center"/>
          </w:tcPr>
          <w:p>
            <w:r/>
            <w:r>
              <w:rPr>
                <w:rFonts w:ascii="Calibri" w:hAnsi="Calibri"/>
                <w:sz w:val="18"/>
              </w:rPr>
              <w:t>0.0066</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Marital_Status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&lt; 0.001</w:t>
            </w:r>
          </w:p>
        </w:tc>
        <w:tc>
          <w:tcPr>
            <w:tcW w:type="dxa" w:w="1008"/>
            <w:vAlign w:val="center"/>
            <w:shd w:fill="F2F5F9" w:val="clear"/>
          </w:tcPr>
          <w:p>
            <w:r/>
            <w:r>
              <w:rPr>
                <w:rFonts w:ascii="Calibri" w:hAnsi="Calibri"/>
                <w:sz w:val="18"/>
              </w:rPr>
              <w:t>YES</w:t>
            </w:r>
          </w:p>
        </w:tc>
      </w:tr>
      <w:tr>
        <w:tc>
          <w:tcPr>
            <w:tcW w:type="dxa" w:w="1008"/>
            <w:vAlign w:val="center"/>
          </w:tcPr>
          <w:p>
            <w:r/>
            <w:r>
              <w:rPr>
                <w:rFonts w:ascii="Calibri" w:hAnsi="Calibri"/>
                <w:sz w:val="18"/>
              </w:rPr>
              <w:t>Race_of_Mother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Sinhalese</w:t>
            </w:r>
          </w:p>
        </w:tc>
        <w:tc>
          <w:tcPr>
            <w:tcW w:type="dxa" w:w="1008"/>
            <w:vAlign w:val="center"/>
          </w:tcPr>
          <w:p>
            <w:r/>
            <w:r>
              <w:rPr>
                <w:rFonts w:ascii="Calibri" w:hAnsi="Calibri"/>
                <w:sz w:val="18"/>
              </w:rPr>
              <w:t>mode: Srilankan Tamil</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Gender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Male</w:t>
            </w:r>
          </w:p>
        </w:tc>
        <w:tc>
          <w:tcPr>
            <w:tcW w:type="dxa" w:w="1008"/>
            <w:vAlign w:val="center"/>
            <w:shd w:fill="F2F5F9" w:val="clear"/>
          </w:tcPr>
          <w:p>
            <w:r/>
            <w:r>
              <w:rPr>
                <w:rFonts w:ascii="Calibri" w:hAnsi="Calibri"/>
                <w:sz w:val="18"/>
              </w:rPr>
              <w:t>mode: Male</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0.0464</w:t>
            </w:r>
          </w:p>
        </w:tc>
        <w:tc>
          <w:tcPr>
            <w:tcW w:type="dxa" w:w="1008"/>
            <w:vAlign w:val="center"/>
            <w:shd w:fill="F2F5F9" w:val="clear"/>
          </w:tcPr>
          <w:p>
            <w:r/>
            <w:r>
              <w:rPr>
                <w:rFonts w:ascii="Calibri" w:hAnsi="Calibri"/>
                <w:sz w:val="18"/>
              </w:rPr>
              <w:t>YES</w:t>
            </w:r>
          </w:p>
        </w:tc>
      </w:tr>
      <w:tr>
        <w:tc>
          <w:tcPr>
            <w:tcW w:type="dxa" w:w="1008"/>
            <w:vAlign w:val="center"/>
          </w:tcPr>
          <w:p>
            <w:r/>
            <w:r>
              <w:rPr>
                <w:rFonts w:ascii="Calibri" w:hAnsi="Calibri"/>
                <w:sz w:val="18"/>
              </w:rPr>
              <w:t>Hospital or Not</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Multiple_Birth_Status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Singleton</w:t>
            </w:r>
          </w:p>
        </w:tc>
        <w:tc>
          <w:tcPr>
            <w:tcW w:type="dxa" w:w="1008"/>
            <w:vAlign w:val="center"/>
            <w:shd w:fill="F2F5F9" w:val="clear"/>
          </w:tcPr>
          <w:p>
            <w:r/>
            <w:r>
              <w:rPr>
                <w:rFonts w:ascii="Calibri" w:hAnsi="Calibri"/>
                <w:sz w:val="18"/>
              </w:rPr>
              <w:t>mode: Singleton</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&lt; 0.001</w:t>
            </w:r>
          </w:p>
        </w:tc>
        <w:tc>
          <w:tcPr>
            <w:tcW w:type="dxa" w:w="1008"/>
            <w:vAlign w:val="center"/>
            <w:shd w:fill="F2F5F9" w:val="clear"/>
          </w:tcPr>
          <w:p>
            <w:r/>
            <w:r>
              <w:rPr>
                <w:rFonts w:ascii="Calibri" w:hAnsi="Calibri"/>
                <w:sz w:val="18"/>
              </w:rPr>
              <w:t>YES</w:t>
            </w:r>
          </w:p>
        </w:tc>
      </w:tr>
      <w:tr>
        <w:tc>
          <w:tcPr>
            <w:tcW w:type="dxa" w:w="1008"/>
            <w:vAlign w:val="center"/>
          </w:tcPr>
          <w:p>
            <w:r/>
            <w:r>
              <w:rPr>
                <w:rFonts w:ascii="Calibri" w:hAnsi="Calibri"/>
                <w:sz w:val="18"/>
              </w:rPr>
              <w:t>Birth_Order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First</w:t>
            </w:r>
          </w:p>
        </w:tc>
        <w:tc>
          <w:tcPr>
            <w:tcW w:type="dxa" w:w="1008"/>
            <w:vAlign w:val="center"/>
          </w:tcPr>
          <w:p>
            <w:r/>
            <w:r>
              <w:rPr>
                <w:rFonts w:ascii="Calibri" w:hAnsi="Calibri"/>
                <w:sz w:val="18"/>
              </w:rPr>
              <w:t>mode: First</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0.0550</w:t>
            </w:r>
          </w:p>
        </w:tc>
        <w:tc>
          <w:tcPr>
            <w:tcW w:type="dxa" w:w="1008"/>
            <w:vAlign w:val="center"/>
          </w:tcPr>
          <w:p>
            <w:r/>
            <w:r>
              <w:rPr>
                <w:rFonts w:ascii="Calibri" w:hAnsi="Calibri"/>
                <w:sz w:val="18"/>
              </w:rPr>
              <w:t>No</w:t>
            </w:r>
          </w:p>
        </w:tc>
      </w:tr>
    </w:tbl>
    <w:p>
      <w:pPr>
        <w:jc w:val="center"/>
      </w:pPr>
      <w:r>
        <w:drawing>
          <wp:inline xmlns:a="http://schemas.openxmlformats.org/drawingml/2006/main" xmlns:pic="http://schemas.openxmlformats.org/drawingml/2006/picture">
            <wp:extent cx="5580000" cy="1940870"/>
            <wp:docPr id="5" name="Picture 5"/>
            <wp:cNvGraphicFramePr>
              <a:graphicFrameLocks noChangeAspect="1"/>
            </wp:cNvGraphicFramePr>
            <a:graphic>
              <a:graphicData uri="http://schemas.openxmlformats.org/drawingml/2006/picture">
                <pic:pic>
                  <pic:nvPicPr>
                    <pic:cNvPr id="0" name="fig6_distribution_retained_vs_dropped.png"/>
                    <pic:cNvPicPr/>
                  </pic:nvPicPr>
                  <pic:blipFill>
                    <a:blip r:embed="rId13"/>
                    <a:stretch>
                      <a:fillRect/>
                    </a:stretch>
                  </pic:blipFill>
                  <pic:spPr>
                    <a:xfrm>
                      <a:off x="0" y="0"/>
                      <a:ext cx="5580000" cy="1940870"/>
                    </a:xfrm>
                    <a:prstGeom prst="rect"/>
                  </pic:spPr>
                </pic:pic>
              </a:graphicData>
            </a:graphic>
          </wp:inline>
        </w:drawing>
      </w:r>
    </w:p>
    <w:p>
      <w:pPr>
        <w:jc w:val="center"/>
      </w:pPr>
      <w:r>
        <w:rPr>
          <w:i/>
          <w:color w:val="555555"/>
          <w:sz w:val="18"/>
        </w:rPr>
        <w:t>Figure 6. Distribution comparison: retained vs dropped records (continuous variables).</w:t>
      </w:r>
    </w:p>
    <w:p>
      <w:pPr>
        <w:pStyle w:val="Heading1"/>
      </w:pPr>
      <w:r>
        <w:rPr>
          <w:rFonts w:ascii="Calibri" w:hAnsi="Calibri"/>
          <w:color w:val="1F3A5F"/>
          <w:sz w:val="30"/>
        </w:rPr>
        <w:t>11. Summary Dashboard</w:t>
      </w:r>
    </w:p>
    <w:p>
      <w:pPr>
        <w:jc w:val="center"/>
      </w:pPr>
      <w:r>
        <w:drawing>
          <wp:inline xmlns:a="http://schemas.openxmlformats.org/drawingml/2006/main" xmlns:pic="http://schemas.openxmlformats.org/drawingml/2006/picture">
            <wp:extent cx="5580000" cy="3650710"/>
            <wp:docPr id="6" name="Picture 6"/>
            <wp:cNvGraphicFramePr>
              <a:graphicFrameLocks noChangeAspect="1"/>
            </wp:cNvGraphicFramePr>
            <a:graphic>
              <a:graphicData uri="http://schemas.openxmlformats.org/drawingml/2006/picture">
                <pic:pic>
                  <pic:nvPicPr>
                    <pic:cNvPr id="0" name="fig7_missing_data_dashboard.png"/>
                    <pic:cNvPicPr/>
                  </pic:nvPicPr>
                  <pic:blipFill>
                    <a:blip r:embed="rId14"/>
                    <a:stretch>
                      <a:fillRect/>
                    </a:stretch>
                  </pic:blipFill>
                  <pic:spPr>
                    <a:xfrm>
                      <a:off x="0" y="0"/>
                      <a:ext cx="5580000" cy="3650710"/>
                    </a:xfrm>
                    <a:prstGeom prst="rect"/>
                  </pic:spPr>
                </pic:pic>
              </a:graphicData>
            </a:graphic>
          </wp:inline>
        </w:drawing>
      </w:r>
    </w:p>
    <w:p>
      <w:pPr>
        <w:jc w:val="center"/>
      </w:pPr>
      <w:r>
        <w:rPr>
          <w:i/>
          <w:color w:val="555555"/>
          <w:sz w:val="18"/>
        </w:rPr>
        <w:t>Figure 7. Summary dashboard combining missingness by variable, records by number of missing variables, listwise deletion waterfall, and the BW × delivery-setting test.</w:t>
      </w:r>
    </w:p>
    <w:p>
      <w:pPr>
        <w:pStyle w:val="Heading1"/>
      </w:pPr>
      <w:r>
        <w:rPr>
          <w:rFonts w:ascii="Calibri" w:hAnsi="Calibri"/>
          <w:color w:val="1F3A5F"/>
          <w:sz w:val="30"/>
        </w:rPr>
        <w:t>12. Conclusions</w:t>
      </w:r>
    </w:p>
    <w:p>
      <w:pPr>
        <w:pStyle w:val="ListBullet"/>
      </w:pPr>
      <w:r>
        <w:rPr>
          <w:rFonts w:ascii="Calibri" w:hAnsi="Calibri"/>
          <w:sz w:val="22"/>
        </w:rPr>
        <w:t>The raw dataset contained 301,712 records. Listwise deletion retained 274,009 (90.82%) for analysis.</w:t>
      </w:r>
    </w:p>
    <w:p>
      <w:pPr>
        <w:pStyle w:val="ListBullet"/>
      </w:pPr>
      <w:r>
        <w:rPr>
          <w:rFonts w:ascii="Calibri" w:hAnsi="Calibri"/>
          <w:sz w:val="22"/>
        </w:rPr>
        <w:t>Variables with low missingness (&lt; 5%): Race_of_Father, Race_of_Mother, Age of Mother, Marital_Status, Gender, Registered_Month, Registered_Year, Multiple_Birth_Status, Hospital or Not, Birth_Month, Birth_Month.0, Birh_Year, Birh_Year 2.0, Registered_District, District_of_Mother.</w:t>
      </w:r>
    </w:p>
    <w:p>
      <w:pPr>
        <w:pStyle w:val="ListBullet"/>
      </w:pPr>
      <w:r>
        <w:rPr>
          <w:rFonts w:ascii="Calibri" w:hAnsi="Calibri"/>
          <w:sz w:val="22"/>
        </w:rPr>
        <w:t>The cleaned analytical dataset (crvs_2000_complete_cases.csv) is ready for outlier analysis (Section 3.4.1), chi-square tests of association (Section 3.5.2), and regression modelling — binary, ordinal, and multinomial (Section 3.5.3).</w:t>
      </w:r>
    </w:p>
    <w:p>
      <w:pPr>
        <w:pStyle w:val="Heading1"/>
      </w:pPr>
      <w:r>
        <w:rPr>
          <w:rFonts w:ascii="Calibri" w:hAnsi="Calibri"/>
          <w:color w:val="1F3A5F"/>
          <w:sz w:val="30"/>
        </w:rPr>
        <w:t>13. References</w:t>
      </w:r>
    </w:p>
    <w:p>
      <w:pPr>
        <w:spacing w:after="80"/>
        <w:ind w:left="397" w:hanging="397"/>
      </w:pPr>
      <w:r>
        <w:rPr>
          <w:rFonts w:ascii="Calibri" w:hAnsi="Calibri"/>
          <w:sz w:val="20"/>
        </w:rPr>
        <w:t>Agresti, A. (2018). Statistical methods for the social sciences (5th ed.). Pearson Education.</w:t>
      </w:r>
    </w:p>
    <w:p>
      <w:pPr>
        <w:spacing w:after="80"/>
        <w:ind w:left="397" w:hanging="397"/>
      </w:pPr>
      <w:r>
        <w:rPr>
          <w:rFonts w:ascii="Calibri" w:hAnsi="Calibri"/>
          <w:sz w:val="20"/>
        </w:rPr>
        <w:t>Department of Census and Statistics Sri Lanka. (2002). Sri Lanka Demographic and Health Survey 2000.</w:t>
      </w:r>
    </w:p>
    <w:p>
      <w:pPr>
        <w:spacing w:after="80"/>
        <w:ind w:left="397" w:hanging="397"/>
      </w:pPr>
      <w:r>
        <w:rPr>
          <w:rFonts w:ascii="Calibri" w:hAnsi="Calibri"/>
          <w:sz w:val="20"/>
        </w:rPr>
        <w:t>Hosmer, D. W., Lemeshow, S., &amp; Sturdivant, R. X. (2013). Applied logistic regression (3rd ed.). Wiley. https://doi.org/10.1002/9781118548387</w:t>
      </w:r>
    </w:p>
    <w:p>
      <w:pPr>
        <w:spacing w:after="80"/>
        <w:ind w:left="397" w:hanging="397"/>
      </w:pPr>
      <w:r>
        <w:rPr>
          <w:rFonts w:ascii="Calibri" w:hAnsi="Calibri"/>
          <w:sz w:val="20"/>
        </w:rPr>
        <w:t>Little, R. J. A. (1988). A test of missing completely at random for multivariate data with missing values. Journal of the American Statistical Association, 83(404), 1198–1202. https://doi.org/10.1080/01621459.1988.10478722</w:t>
      </w:r>
    </w:p>
    <w:p>
      <w:pPr>
        <w:spacing w:after="80"/>
        <w:ind w:left="397" w:hanging="397"/>
      </w:pPr>
      <w:r>
        <w:rPr>
          <w:rFonts w:ascii="Calibri" w:hAnsi="Calibri"/>
          <w:sz w:val="20"/>
        </w:rPr>
        <w:t>Little, R. J. A., &amp; Rubin, D. B. (2002). Statistical analysis with missing data (2nd ed.). Wiley. https://doi.org/10.1002/9781119013563</w:t>
      </w:r>
    </w:p>
    <w:p>
      <w:pPr>
        <w:spacing w:after="80"/>
        <w:ind w:left="397" w:hanging="397"/>
      </w:pPr>
      <w:r>
        <w:rPr>
          <w:rFonts w:ascii="Calibri" w:hAnsi="Calibri"/>
          <w:sz w:val="20"/>
        </w:rPr>
        <w:t>Ministry of Health Sri Lanka. (2000). Annual Health Bulletin 2000. Ministry of Health.</w:t>
      </w:r>
    </w:p>
    <w:p>
      <w:pPr>
        <w:spacing w:after="80"/>
        <w:ind w:left="397" w:hanging="397"/>
      </w:pPr>
      <w:r>
        <w:rPr>
          <w:rFonts w:ascii="Calibri" w:hAnsi="Calibri"/>
          <w:sz w:val="20"/>
        </w:rPr>
        <w:t>Rubin, D. B. (1976). Inference and missing data. Biometrika, 63(3), 581–592. https://doi.org/10.1093/biomet/63.3.581</w:t>
      </w:r>
    </w:p>
    <w:p>
      <w:pPr>
        <w:spacing w:after="80"/>
        <w:ind w:left="397" w:hanging="397"/>
      </w:pPr>
      <w:r>
        <w:rPr>
          <w:rFonts w:ascii="Calibri" w:hAnsi="Calibri"/>
          <w:sz w:val="20"/>
        </w:rPr>
        <w:t>Rutstein, S. O., &amp; Rojas, G. (2006). Guide to DHS statistics (DHS-IV). ORC Macro.</w:t>
      </w:r>
    </w:p>
    <w:p>
      <w:pPr>
        <w:spacing w:after="80"/>
        <w:ind w:left="397" w:hanging="397"/>
      </w:pPr>
      <w:r>
        <w:rPr>
          <w:rFonts w:ascii="Calibri" w:hAnsi="Calibri"/>
          <w:sz w:val="20"/>
        </w:rPr>
        <w:t>Sterne, J. A. C., White, I. R., Carlin, J. B., Spratt, M., Royston, P., Kenward, M. G., Wood, A. M., &amp; Carpenter, J. R. (2009). Multiple imputation for missing data in epidemiological and clinical research: Potential and pitfalls. BMJ, 338, b2393. https://doi.org/10.1136/bmj.b2393</w:t>
      </w:r>
    </w:p>
    <w:p>
      <w:pPr>
        <w:spacing w:after="80"/>
        <w:ind w:left="397" w:hanging="397"/>
      </w:pPr>
      <w:r>
        <w:rPr>
          <w:rFonts w:ascii="Calibri" w:hAnsi="Calibri"/>
          <w:sz w:val="20"/>
        </w:rPr>
        <w:t>United Nations, Department of Economic and Social Affairs, Population Division. (2014). Principles and recommendations for a vital statistics system: Revision 3 (Statistical Papers, Series M, No. 19/Rev.3). United Nations.</w:t>
      </w:r>
    </w:p>
    <w:p>
      <w:pPr>
        <w:spacing w:after="80"/>
        <w:ind w:left="397" w:hanging="397"/>
      </w:pPr>
      <w:r>
        <w:rPr>
          <w:rFonts w:ascii="Calibri" w:hAnsi="Calibri"/>
          <w:sz w:val="20"/>
        </w:rPr>
        <w:t>World Health Organization. (2014). Global nutrition targets 2025: Low birth weight policy brief (WHO/NMH/NHD/14.5). WHO.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