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Missing Values Analysis Report</w:t>
      </w:r>
    </w:p>
    <w:p>
      <w:r>
        <w:t>Generated: 2026-04-30 17:55</w:t>
      </w:r>
    </w:p>
    <w:p>
      <w:r>
        <w:t>Dataset: 347,738 rows × 14 columns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dataset. </w:t>
        <w:br/>
        <w:t>Key findings include:</w:t>
        <w:br/>
        <w:t>• Total missing values: 309 (0.01% of all data)</w:t>
        <w:br/>
        <w:t>• Columns with missing data: 2 out of 14 columns</w:t>
        <w:br/>
        <w:t>• Columns with &gt;20% missing data: 0</w:t>
        <w:br/>
        <w:t>• Best completed columns: ['Registered_District', 'Birh_Year_2.0', 'Registered_Year']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347738.0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14.0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309.0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0.01</w:t>
            </w:r>
          </w:p>
        </w:tc>
      </w:tr>
    </w:tbl>
    <w:p>
      <w:pPr>
        <w:pStyle w:val="Heading1"/>
      </w:pPr>
      <w:r>
        <w:t>3.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221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0.1%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347,517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99.9%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88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347,650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Birh_Year_2.0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Gender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Birth_Order 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4. Missing Values Visualization</w:t>
      </w:r>
    </w:p>
    <w:p>
      <w:r>
        <w:drawing>
          <wp:inline xmlns:a="http://schemas.openxmlformats.org/drawingml/2006/main" xmlns:pic="http://schemas.openxmlformats.org/drawingml/2006/picture">
            <wp:extent cx="5943600" cy="354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5.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Review variables with high missing percentages to understand data collection issues</w:t>
      </w:r>
    </w:p>
    <w:p>
      <w:pPr>
        <w:pStyle w:val="Heading1"/>
      </w:pPr>
      <w:r>
        <w:t>6.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 saved at 300 DPI for publication quality</w:t>
      </w:r>
    </w:p>
    <w:p>
      <w:pPr>
        <w:pStyle w:val="ListBullet"/>
      </w:pPr>
      <w:r>
        <w:t>• Complete data available in accompanying Excel file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Missing Values Analysis | Generated: 2026-04-30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Data Analysis Report</dc:creator>
  <cp:keywords/>
  <dc:description>generated by python-docx</dc:description>
  <cp:lastModifiedBy/>
  <cp:revision>1</cp:revision>
  <dcterms:created xsi:type="dcterms:W3CDTF">2026-04-30T17:55:54Z</dcterms:created>
  <dcterms:modified xsi:type="dcterms:W3CDTF">2013-12-23T23:15:00Z</dcterms:modified>
  <cp:category/>
</cp:coreProperties>
</file>