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Parity Distribution — Sri Lanka Birth Registration</w:t>
      </w:r>
    </w:p>
    <w:p/>
    <w:p>
      <w:pPr>
        <w:pStyle w:val="Heading2"/>
      </w:pPr>
      <w:r>
        <w:t>Figure 1: Birth Order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4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arity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Table 1: Frequency Distribution of Birth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Birth Order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Parity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Frequency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Percentage 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Cumulative 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First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141,381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44.42%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44.42%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Second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108,642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34.13%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78.55%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Third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49,739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15.63%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94.18%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Fourth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12,941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4.07%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98.25%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Fifth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4,007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1.26%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99.50%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Sixth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1,040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99.83%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Seventh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0.12%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99.95%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Eighth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99.99%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Nineth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100.00%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pPr>
              <w:jc w:val="center"/>
            </w:pP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318,288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100.00%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100.00%</w:t>
            </w:r>
          </w:p>
        </w:tc>
      </w:tr>
    </w:tbl>
    <w:p/>
    <w:p>
      <w:r>
        <w:rPr>
          <w:i/>
          <w:sz w:val="20"/>
        </w:rPr>
        <w:t>Note: Parity refers to the number of live births a mother has had.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