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1C5C" w14:textId="77777777" w:rsidR="00DD28FD" w:rsidRPr="00F66DD3" w:rsidRDefault="00000000">
      <w:pPr>
        <w:jc w:val="center"/>
        <w:rPr>
          <w:rFonts w:ascii="Times New Roman" w:hAnsi="Times New Roman" w:cs="Times New Roman"/>
          <w:sz w:val="32"/>
          <w:szCs w:val="32"/>
        </w:rPr>
      </w:pPr>
      <w:r w:rsidRPr="00F66DD3">
        <w:rPr>
          <w:rFonts w:ascii="Times New Roman" w:hAnsi="Times New Roman" w:cs="Times New Roman"/>
          <w:b/>
          <w:sz w:val="32"/>
          <w:szCs w:val="32"/>
        </w:rPr>
        <w:t>LITERATURE SURVEY</w:t>
      </w:r>
    </w:p>
    <w:p w14:paraId="1C7A9C2A"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Model Provenance Verification for Pre-trained Machine Learning Models</w:t>
      </w:r>
    </w:p>
    <w:p w14:paraId="26C5A737" w14:textId="77777777" w:rsidR="00DD28FD" w:rsidRPr="00F66DD3" w:rsidRDefault="00DD28FD">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
        <w:gridCol w:w="824"/>
        <w:gridCol w:w="2184"/>
        <w:gridCol w:w="929"/>
        <w:gridCol w:w="1794"/>
        <w:gridCol w:w="2294"/>
        <w:gridCol w:w="2280"/>
      </w:tblGrid>
      <w:tr w:rsidR="00DD28FD" w:rsidRPr="00F66DD3" w14:paraId="53D8E2DC" w14:textId="77777777" w:rsidTr="00F66DD3">
        <w:trPr>
          <w:jc w:val="center"/>
        </w:trPr>
        <w:tc>
          <w:tcPr>
            <w:tcW w:w="946" w:type="dxa"/>
            <w:gridSpan w:val="2"/>
            <w:shd w:val="clear" w:color="auto" w:fill="D9EAF7"/>
            <w:vAlign w:val="center"/>
          </w:tcPr>
          <w:p w14:paraId="07ACBD0E" w14:textId="77777777" w:rsidR="00DD28FD" w:rsidRPr="00F66DD3" w:rsidRDefault="00000000">
            <w:pPr>
              <w:jc w:val="center"/>
              <w:rPr>
                <w:rFonts w:ascii="Times New Roman" w:hAnsi="Times New Roman" w:cs="Times New Roman"/>
                <w:sz w:val="24"/>
                <w:szCs w:val="24"/>
              </w:rPr>
            </w:pPr>
            <w:proofErr w:type="spellStart"/>
            <w:r w:rsidRPr="00F66DD3">
              <w:rPr>
                <w:rFonts w:ascii="Times New Roman" w:hAnsi="Times New Roman" w:cs="Times New Roman"/>
                <w:b/>
                <w:sz w:val="24"/>
                <w:szCs w:val="24"/>
              </w:rPr>
              <w:t>S.No</w:t>
            </w:r>
            <w:proofErr w:type="spellEnd"/>
            <w:r w:rsidRPr="00F66DD3">
              <w:rPr>
                <w:rFonts w:ascii="Times New Roman" w:hAnsi="Times New Roman" w:cs="Times New Roman"/>
                <w:b/>
                <w:sz w:val="24"/>
                <w:szCs w:val="24"/>
              </w:rPr>
              <w:t>.</w:t>
            </w:r>
          </w:p>
        </w:tc>
        <w:tc>
          <w:tcPr>
            <w:tcW w:w="3240" w:type="dxa"/>
            <w:shd w:val="clear" w:color="auto" w:fill="D9EAF7"/>
            <w:vAlign w:val="center"/>
          </w:tcPr>
          <w:p w14:paraId="08DD6DEC"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Paper Name</w:t>
            </w:r>
          </w:p>
        </w:tc>
        <w:tc>
          <w:tcPr>
            <w:tcW w:w="1258" w:type="dxa"/>
            <w:shd w:val="clear" w:color="auto" w:fill="D9EAF7"/>
            <w:vAlign w:val="center"/>
          </w:tcPr>
          <w:p w14:paraId="31CEB42D"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Year</w:t>
            </w:r>
          </w:p>
        </w:tc>
        <w:tc>
          <w:tcPr>
            <w:tcW w:w="2610" w:type="dxa"/>
            <w:shd w:val="clear" w:color="auto" w:fill="D9EAF7"/>
            <w:vAlign w:val="center"/>
          </w:tcPr>
          <w:p w14:paraId="61E2FA16"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Author(s)</w:t>
            </w:r>
          </w:p>
        </w:tc>
        <w:tc>
          <w:tcPr>
            <w:tcW w:w="3397" w:type="dxa"/>
            <w:shd w:val="clear" w:color="auto" w:fill="D9EAF7"/>
            <w:vAlign w:val="center"/>
          </w:tcPr>
          <w:p w14:paraId="5BA112BB"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Advantage</w:t>
            </w:r>
          </w:p>
        </w:tc>
        <w:tc>
          <w:tcPr>
            <w:tcW w:w="3084" w:type="dxa"/>
            <w:shd w:val="clear" w:color="auto" w:fill="D9EAF7"/>
            <w:vAlign w:val="center"/>
          </w:tcPr>
          <w:p w14:paraId="4D58699F"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Limitation</w:t>
            </w:r>
          </w:p>
        </w:tc>
      </w:tr>
      <w:tr w:rsidR="00DD28FD" w:rsidRPr="00F66DD3" w14:paraId="3B036E39" w14:textId="77777777" w:rsidTr="00F66DD3">
        <w:trPr>
          <w:jc w:val="center"/>
        </w:trPr>
        <w:tc>
          <w:tcPr>
            <w:tcW w:w="946" w:type="dxa"/>
            <w:gridSpan w:val="2"/>
          </w:tcPr>
          <w:p w14:paraId="4283F38E"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1</w:t>
            </w:r>
          </w:p>
        </w:tc>
        <w:tc>
          <w:tcPr>
            <w:tcW w:w="3240" w:type="dxa"/>
          </w:tcPr>
          <w:p w14:paraId="5B235C0F"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AWM: Accurate Weight-Matrix Fingerprint for Large Language Models</w:t>
            </w:r>
          </w:p>
        </w:tc>
        <w:tc>
          <w:tcPr>
            <w:tcW w:w="1258" w:type="dxa"/>
          </w:tcPr>
          <w:p w14:paraId="768FA49B"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sz w:val="24"/>
                <w:szCs w:val="24"/>
              </w:rPr>
              <w:t>2025</w:t>
            </w:r>
          </w:p>
        </w:tc>
        <w:tc>
          <w:tcPr>
            <w:tcW w:w="2610" w:type="dxa"/>
          </w:tcPr>
          <w:p w14:paraId="7FAAC37E"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Zeng et al. (ICLR)</w:t>
            </w:r>
          </w:p>
        </w:tc>
        <w:tc>
          <w:tcPr>
            <w:tcW w:w="3397" w:type="dxa"/>
          </w:tcPr>
          <w:p w14:paraId="551ABC46"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Achieves perfect AUC on 150 model pairs; training-free; robust against SFT, continued pretraining, RL, multimodal extension, pruning and upcycling; near-zero false positives.</w:t>
            </w:r>
          </w:p>
        </w:tc>
        <w:tc>
          <w:tcPr>
            <w:tcW w:w="3084" w:type="dxa"/>
          </w:tcPr>
          <w:p w14:paraId="7DB59AE0"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Requires white-box access to model weights and can be computationally intensive for very large models.</w:t>
            </w:r>
          </w:p>
        </w:tc>
      </w:tr>
      <w:tr w:rsidR="00DD28FD" w:rsidRPr="00F66DD3" w14:paraId="2A8D81A5" w14:textId="77777777" w:rsidTr="00F66DD3">
        <w:trPr>
          <w:gridBefore w:val="1"/>
          <w:wBefore w:w="10" w:type="dxa"/>
          <w:jc w:val="center"/>
        </w:trPr>
        <w:tc>
          <w:tcPr>
            <w:tcW w:w="936" w:type="dxa"/>
          </w:tcPr>
          <w:p w14:paraId="0DA85B73"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2</w:t>
            </w:r>
          </w:p>
        </w:tc>
        <w:tc>
          <w:tcPr>
            <w:tcW w:w="3240" w:type="dxa"/>
          </w:tcPr>
          <w:p w14:paraId="0EC8FCFC"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Model Provenance Testing for Large Language Models</w:t>
            </w:r>
          </w:p>
        </w:tc>
        <w:tc>
          <w:tcPr>
            <w:tcW w:w="1258" w:type="dxa"/>
          </w:tcPr>
          <w:p w14:paraId="4F9DF77C"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sz w:val="24"/>
                <w:szCs w:val="24"/>
              </w:rPr>
              <w:t>2025</w:t>
            </w:r>
          </w:p>
        </w:tc>
        <w:tc>
          <w:tcPr>
            <w:tcW w:w="2610" w:type="dxa"/>
          </w:tcPr>
          <w:p w14:paraId="7A2C22C4"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Nikolic et al. (NeurIPS)</w:t>
            </w:r>
          </w:p>
        </w:tc>
        <w:tc>
          <w:tcPr>
            <w:tcW w:w="3397" w:type="dxa"/>
          </w:tcPr>
          <w:p w14:paraId="0A3EA76D"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Fully black-box approach requiring only first-output-token access; uses statistical hypothesis testing with objective thresholds; validated on 531 models.</w:t>
            </w:r>
          </w:p>
        </w:tc>
        <w:tc>
          <w:tcPr>
            <w:tcW w:w="3084" w:type="dxa"/>
          </w:tcPr>
          <w:p w14:paraId="20A9BB92"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Limited to token-level analysis and may miss fine-grained internal model modifications.</w:t>
            </w:r>
          </w:p>
        </w:tc>
      </w:tr>
      <w:tr w:rsidR="00DD28FD" w:rsidRPr="00F66DD3" w14:paraId="7126A3EF" w14:textId="77777777" w:rsidTr="00F66DD3">
        <w:trPr>
          <w:gridBefore w:val="1"/>
          <w:wBefore w:w="10" w:type="dxa"/>
          <w:jc w:val="center"/>
        </w:trPr>
        <w:tc>
          <w:tcPr>
            <w:tcW w:w="936" w:type="dxa"/>
          </w:tcPr>
          <w:p w14:paraId="11B353DC"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3</w:t>
            </w:r>
          </w:p>
        </w:tc>
        <w:tc>
          <w:tcPr>
            <w:tcW w:w="3240" w:type="dxa"/>
          </w:tcPr>
          <w:p w14:paraId="27A4EC40"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Training Data Provenance Verification: Did Your Model Use Synthetic Data?</w:t>
            </w:r>
          </w:p>
        </w:tc>
        <w:tc>
          <w:tcPr>
            <w:tcW w:w="1258" w:type="dxa"/>
          </w:tcPr>
          <w:p w14:paraId="7D08181B"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sz w:val="24"/>
                <w:szCs w:val="24"/>
              </w:rPr>
              <w:t>2025</w:t>
            </w:r>
          </w:p>
        </w:tc>
        <w:tc>
          <w:tcPr>
            <w:tcW w:w="2610" w:type="dxa"/>
          </w:tcPr>
          <w:p w14:paraId="3A91C13D"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Xie et al. (CVPR)</w:t>
            </w:r>
          </w:p>
        </w:tc>
        <w:tc>
          <w:tcPr>
            <w:tcW w:w="3397" w:type="dxa"/>
          </w:tcPr>
          <w:p w14:paraId="04AF1DB3"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Achieves more than 99% accuracy; detects synthetic-data usage to protect generative-model IP; does not require watermark embedding.</w:t>
            </w:r>
          </w:p>
        </w:tc>
        <w:tc>
          <w:tcPr>
            <w:tcW w:w="3084" w:type="dxa"/>
          </w:tcPr>
          <w:p w14:paraId="4D131C04"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Limited to synthetic-data scenarios and requires additional shadow-model training overhead.</w:t>
            </w:r>
          </w:p>
        </w:tc>
      </w:tr>
      <w:tr w:rsidR="00DD28FD" w:rsidRPr="00F66DD3" w14:paraId="6A301C28" w14:textId="77777777" w:rsidTr="00F66DD3">
        <w:trPr>
          <w:gridBefore w:val="1"/>
          <w:wBefore w:w="10" w:type="dxa"/>
          <w:jc w:val="center"/>
        </w:trPr>
        <w:tc>
          <w:tcPr>
            <w:tcW w:w="936" w:type="dxa"/>
          </w:tcPr>
          <w:p w14:paraId="726C09E6"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4</w:t>
            </w:r>
          </w:p>
        </w:tc>
        <w:tc>
          <w:tcPr>
            <w:tcW w:w="3240" w:type="dxa"/>
          </w:tcPr>
          <w:p w14:paraId="35C4A2FC"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Atlas: A Framework for ML Lifecycle Provenance &amp; Transparency</w:t>
            </w:r>
          </w:p>
        </w:tc>
        <w:tc>
          <w:tcPr>
            <w:tcW w:w="1258" w:type="dxa"/>
          </w:tcPr>
          <w:p w14:paraId="53AD5CB6"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sz w:val="24"/>
                <w:szCs w:val="24"/>
              </w:rPr>
              <w:t>2025</w:t>
            </w:r>
          </w:p>
        </w:tc>
        <w:tc>
          <w:tcPr>
            <w:tcW w:w="2610" w:type="dxa"/>
          </w:tcPr>
          <w:p w14:paraId="3CCA90AD"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Intel Labs (SYSTEX)</w:t>
            </w:r>
          </w:p>
        </w:tc>
        <w:tc>
          <w:tcPr>
            <w:tcW w:w="3397" w:type="dxa"/>
          </w:tcPr>
          <w:p w14:paraId="421D1F87"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Uses TEE-based remote attestation with Intel TDX and digitally signed C2PA manifests; supports cryptographic verification of model provenance across the ML lifecycle.</w:t>
            </w:r>
          </w:p>
        </w:tc>
        <w:tc>
          <w:tcPr>
            <w:tcW w:w="3084" w:type="dxa"/>
          </w:tcPr>
          <w:p w14:paraId="724F6059"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Depends on Intel TDX hardware and is limited to environments supporting trusted execution technologies.</w:t>
            </w:r>
          </w:p>
        </w:tc>
      </w:tr>
      <w:tr w:rsidR="00DD28FD" w:rsidRPr="00F66DD3" w14:paraId="6BBFE8DD" w14:textId="77777777" w:rsidTr="00F66DD3">
        <w:trPr>
          <w:gridBefore w:val="1"/>
          <w:wBefore w:w="10" w:type="dxa"/>
          <w:jc w:val="center"/>
        </w:trPr>
        <w:tc>
          <w:tcPr>
            <w:tcW w:w="936" w:type="dxa"/>
          </w:tcPr>
          <w:p w14:paraId="52B5250A"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b/>
                <w:sz w:val="24"/>
                <w:szCs w:val="24"/>
              </w:rPr>
              <w:t>5</w:t>
            </w:r>
          </w:p>
        </w:tc>
        <w:tc>
          <w:tcPr>
            <w:tcW w:w="3240" w:type="dxa"/>
          </w:tcPr>
          <w:p w14:paraId="0A5AC9CD"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Who Built This Model? Tracing LLM Lineage via Spectral Fingerprints in Weight Space</w:t>
            </w:r>
          </w:p>
        </w:tc>
        <w:tc>
          <w:tcPr>
            <w:tcW w:w="1258" w:type="dxa"/>
          </w:tcPr>
          <w:p w14:paraId="57FC76CB" w14:textId="77777777" w:rsidR="00DD28FD" w:rsidRPr="00F66DD3" w:rsidRDefault="00000000">
            <w:pPr>
              <w:jc w:val="center"/>
              <w:rPr>
                <w:rFonts w:ascii="Times New Roman" w:hAnsi="Times New Roman" w:cs="Times New Roman"/>
                <w:sz w:val="24"/>
                <w:szCs w:val="24"/>
              </w:rPr>
            </w:pPr>
            <w:r w:rsidRPr="00F66DD3">
              <w:rPr>
                <w:rFonts w:ascii="Times New Roman" w:hAnsi="Times New Roman" w:cs="Times New Roman"/>
                <w:sz w:val="24"/>
                <w:szCs w:val="24"/>
              </w:rPr>
              <w:t>2026</w:t>
            </w:r>
          </w:p>
        </w:tc>
        <w:tc>
          <w:tcPr>
            <w:tcW w:w="2610" w:type="dxa"/>
          </w:tcPr>
          <w:p w14:paraId="0B6621DE"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Nikolic et al. (NeurIPS)</w:t>
            </w:r>
          </w:p>
        </w:tc>
        <w:tc>
          <w:tcPr>
            <w:tcW w:w="3397" w:type="dxa"/>
          </w:tcPr>
          <w:p w14:paraId="682DE623"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Provides hierarchical lineage discrimination using spectral fingerprints and weight-space geometry; distinguishes models sharing common bases but using different post-training methods.</w:t>
            </w:r>
          </w:p>
        </w:tc>
        <w:tc>
          <w:tcPr>
            <w:tcW w:w="3084" w:type="dxa"/>
          </w:tcPr>
          <w:p w14:paraId="43E2B829" w14:textId="77777777" w:rsidR="00DD28FD" w:rsidRPr="00F66DD3" w:rsidRDefault="00000000">
            <w:pPr>
              <w:rPr>
                <w:rFonts w:ascii="Times New Roman" w:hAnsi="Times New Roman" w:cs="Times New Roman"/>
                <w:sz w:val="24"/>
                <w:szCs w:val="24"/>
              </w:rPr>
            </w:pPr>
            <w:r w:rsidRPr="00F66DD3">
              <w:rPr>
                <w:rFonts w:ascii="Times New Roman" w:hAnsi="Times New Roman" w:cs="Times New Roman"/>
                <w:sz w:val="24"/>
                <w:szCs w:val="24"/>
              </w:rPr>
              <w:t>Requires model-weight access and uses a complex mathematical framework involving subspace alignment and spectral decomposition.</w:t>
            </w:r>
          </w:p>
        </w:tc>
      </w:tr>
    </w:tbl>
    <w:p w14:paraId="3C555CAC" w14:textId="78789F46" w:rsidR="00DD28FD" w:rsidRPr="00F66DD3" w:rsidRDefault="00F66DD3">
      <w:pPr>
        <w:rPr>
          <w:rFonts w:ascii="Times New Roman" w:hAnsi="Times New Roman" w:cs="Times New Roman"/>
          <w:b/>
          <w:bCs/>
          <w:sz w:val="24"/>
          <w:szCs w:val="24"/>
        </w:rPr>
      </w:pPr>
      <w:r w:rsidRPr="00F66DD3">
        <w:rPr>
          <w:rFonts w:ascii="Times New Roman" w:hAnsi="Times New Roman" w:cs="Times New Roman"/>
          <w:b/>
          <w:bCs/>
          <w:sz w:val="24"/>
          <w:szCs w:val="24"/>
        </w:rPr>
        <w:lastRenderedPageBreak/>
        <w:t>RESEARCH GAP ANALYSIS</w:t>
      </w:r>
    </w:p>
    <w:p w14:paraId="5472E927"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sz w:val="24"/>
          <w:szCs w:val="24"/>
        </w:rPr>
        <w:t xml:space="preserve">The existing research on </w:t>
      </w:r>
      <w:r w:rsidRPr="00F66DD3">
        <w:rPr>
          <w:rFonts w:ascii="Times New Roman" w:hAnsi="Times New Roman" w:cs="Times New Roman"/>
          <w:b/>
          <w:bCs/>
          <w:sz w:val="24"/>
          <w:szCs w:val="24"/>
        </w:rPr>
        <w:t>ML model provenance and verification</w:t>
      </w:r>
      <w:r w:rsidRPr="00F66DD3">
        <w:rPr>
          <w:rFonts w:ascii="Times New Roman" w:hAnsi="Times New Roman" w:cs="Times New Roman"/>
          <w:sz w:val="24"/>
          <w:szCs w:val="24"/>
        </w:rPr>
        <w:t xml:space="preserve"> provides different techniques for identifying and tracking pre-trained models. However, each approach has certain limitations.</w:t>
      </w:r>
    </w:p>
    <w:p w14:paraId="57676F48"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b/>
          <w:bCs/>
          <w:sz w:val="24"/>
          <w:szCs w:val="24"/>
        </w:rPr>
        <w:t>AWM</w:t>
      </w:r>
      <w:r w:rsidRPr="00F66DD3">
        <w:rPr>
          <w:rFonts w:ascii="Times New Roman" w:hAnsi="Times New Roman" w:cs="Times New Roman"/>
          <w:sz w:val="24"/>
          <w:szCs w:val="24"/>
        </w:rPr>
        <w:t xml:space="preserve"> uses weight-matrix fingerprints to identify whether models are related or modified. Although it provides high accuracy, it requires access to the internal model weights and can require significant computation for large models.</w:t>
      </w:r>
    </w:p>
    <w:p w14:paraId="36250F7F"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b/>
          <w:bCs/>
          <w:sz w:val="24"/>
          <w:szCs w:val="24"/>
        </w:rPr>
        <w:t>Model Provenance Testing for Large Language Models</w:t>
      </w:r>
      <w:r w:rsidRPr="00F66DD3">
        <w:rPr>
          <w:rFonts w:ascii="Times New Roman" w:hAnsi="Times New Roman" w:cs="Times New Roman"/>
          <w:sz w:val="24"/>
          <w:szCs w:val="24"/>
        </w:rPr>
        <w:t xml:space="preserve"> provides a black-box method that verifies models using their outputs. However, it mainly focuses on token-level behavior and may not detect small internal modifications to the model.</w:t>
      </w:r>
    </w:p>
    <w:p w14:paraId="46D05C05"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b/>
          <w:bCs/>
          <w:sz w:val="24"/>
          <w:szCs w:val="24"/>
        </w:rPr>
        <w:t>Training Data Provenance Verification</w:t>
      </w:r>
      <w:r w:rsidRPr="00F66DD3">
        <w:rPr>
          <w:rFonts w:ascii="Times New Roman" w:hAnsi="Times New Roman" w:cs="Times New Roman"/>
          <w:sz w:val="24"/>
          <w:szCs w:val="24"/>
        </w:rPr>
        <w:t xml:space="preserve"> focuses on identifying whether synthetic data was used during training. Its main limitation is that it is designed specifically for synthetic-data scenarios and does not provide complete provenance information for general ML models.</w:t>
      </w:r>
    </w:p>
    <w:p w14:paraId="42670056"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b/>
          <w:bCs/>
          <w:sz w:val="24"/>
          <w:szCs w:val="24"/>
        </w:rPr>
        <w:t>Atlas</w:t>
      </w:r>
      <w:r w:rsidRPr="00F66DD3">
        <w:rPr>
          <w:rFonts w:ascii="Times New Roman" w:hAnsi="Times New Roman" w:cs="Times New Roman"/>
          <w:sz w:val="24"/>
          <w:szCs w:val="24"/>
        </w:rPr>
        <w:t xml:space="preserve"> provides end-to-end ML provenance using trusted hardware, remote attestation, and digitally signed manifests. However, its dependence on specialized hardware makes it difficult to deploy in environments where such hardware is unavailable.</w:t>
      </w:r>
    </w:p>
    <w:p w14:paraId="0484B8E4"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b/>
          <w:bCs/>
          <w:sz w:val="24"/>
          <w:szCs w:val="24"/>
        </w:rPr>
        <w:t>Spectral Fingerprints</w:t>
      </w:r>
      <w:r w:rsidRPr="00F66DD3">
        <w:rPr>
          <w:rFonts w:ascii="Times New Roman" w:hAnsi="Times New Roman" w:cs="Times New Roman"/>
          <w:sz w:val="24"/>
          <w:szCs w:val="24"/>
        </w:rPr>
        <w:t xml:space="preserve"> provide detailed model-lineage analysis using mathematical analysis of model weights. However, the method requires access to model weights and involves complex computations.</w:t>
      </w:r>
    </w:p>
    <w:p w14:paraId="72B5A78A"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sz w:val="24"/>
          <w:szCs w:val="24"/>
        </w:rPr>
        <w:t>Overall Research Gap</w:t>
      </w:r>
    </w:p>
    <w:p w14:paraId="3DE9597C"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sz w:val="24"/>
          <w:szCs w:val="24"/>
        </w:rPr>
        <w:t>The major research gap is the lack of a simple, practical, and software-based framework that combines model identity, integrity verification, provenance information, and tamper-evident storage into a single system.</w:t>
      </w:r>
    </w:p>
    <w:p w14:paraId="3C1AC9BB"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sz w:val="24"/>
          <w:szCs w:val="24"/>
        </w:rPr>
        <w:t>Existing methods generally focus on one specific aspect such as weight fingerprinting, output analysis, training-data verification, or hardware attestation.</w:t>
      </w:r>
    </w:p>
    <w:p w14:paraId="6AB9E30C" w14:textId="77777777" w:rsidR="00F66DD3" w:rsidRPr="00F66DD3" w:rsidRDefault="00F66DD3" w:rsidP="00F66DD3">
      <w:pPr>
        <w:rPr>
          <w:rFonts w:ascii="Times New Roman" w:hAnsi="Times New Roman" w:cs="Times New Roman"/>
          <w:sz w:val="24"/>
          <w:szCs w:val="24"/>
        </w:rPr>
      </w:pPr>
      <w:r w:rsidRPr="00F66DD3">
        <w:rPr>
          <w:rFonts w:ascii="Times New Roman" w:hAnsi="Times New Roman" w:cs="Times New Roman"/>
          <w:sz w:val="24"/>
          <w:szCs w:val="24"/>
        </w:rPr>
        <w:t>Therefore, the proposed project aims to provide a unified Model Provenance Verification Framework using cryptographic hashing, digital signatures, provenance metadata, and a tamper-evident transparency log to verify the authenticity, integrity, and history of pre-trained ML models.</w:t>
      </w:r>
    </w:p>
    <w:p w14:paraId="3BC71E58" w14:textId="3AFAFB3D" w:rsidR="00DD28FD" w:rsidRPr="00F66DD3" w:rsidRDefault="00DD28FD">
      <w:pPr>
        <w:rPr>
          <w:rFonts w:ascii="Times New Roman" w:hAnsi="Times New Roman" w:cs="Times New Roman"/>
          <w:sz w:val="24"/>
          <w:szCs w:val="24"/>
        </w:rPr>
      </w:pPr>
    </w:p>
    <w:sectPr w:rsidR="00DD28FD" w:rsidRPr="00F66DD3" w:rsidSect="00F66DD3">
      <w:footerReference w:type="default" r:id="rId8"/>
      <w:pgSz w:w="11909" w:h="16834"/>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E336" w14:textId="77777777" w:rsidR="00067080" w:rsidRDefault="00067080">
      <w:pPr>
        <w:spacing w:after="0" w:line="240" w:lineRule="auto"/>
      </w:pPr>
      <w:r>
        <w:separator/>
      </w:r>
    </w:p>
  </w:endnote>
  <w:endnote w:type="continuationSeparator" w:id="0">
    <w:p w14:paraId="58759253" w14:textId="77777777" w:rsidR="00067080" w:rsidRDefault="00067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4B84" w14:textId="4ED88591" w:rsidR="00DD28FD" w:rsidRDefault="00DD28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78FD" w14:textId="77777777" w:rsidR="00067080" w:rsidRDefault="00067080">
      <w:pPr>
        <w:spacing w:after="0" w:line="240" w:lineRule="auto"/>
      </w:pPr>
      <w:r>
        <w:separator/>
      </w:r>
    </w:p>
  </w:footnote>
  <w:footnote w:type="continuationSeparator" w:id="0">
    <w:p w14:paraId="0FDE3CAB" w14:textId="77777777" w:rsidR="00067080" w:rsidRDefault="00067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833154">
    <w:abstractNumId w:val="8"/>
  </w:num>
  <w:num w:numId="2" w16cid:durableId="1580751646">
    <w:abstractNumId w:val="6"/>
  </w:num>
  <w:num w:numId="3" w16cid:durableId="120392283">
    <w:abstractNumId w:val="5"/>
  </w:num>
  <w:num w:numId="4" w16cid:durableId="384372676">
    <w:abstractNumId w:val="4"/>
  </w:num>
  <w:num w:numId="5" w16cid:durableId="1948194213">
    <w:abstractNumId w:val="7"/>
  </w:num>
  <w:num w:numId="6" w16cid:durableId="1841118056">
    <w:abstractNumId w:val="3"/>
  </w:num>
  <w:num w:numId="7" w16cid:durableId="560486049">
    <w:abstractNumId w:val="2"/>
  </w:num>
  <w:num w:numId="8" w16cid:durableId="1168642950">
    <w:abstractNumId w:val="1"/>
  </w:num>
  <w:num w:numId="9" w16cid:durableId="292446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080"/>
    <w:rsid w:val="0015074B"/>
    <w:rsid w:val="0029639D"/>
    <w:rsid w:val="00326F90"/>
    <w:rsid w:val="00355B22"/>
    <w:rsid w:val="00AA1D8D"/>
    <w:rsid w:val="00B47730"/>
    <w:rsid w:val="00CB0664"/>
    <w:rsid w:val="00DD28FD"/>
    <w:rsid w:val="00F66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86F52"/>
  <w14:defaultImageDpi w14:val="300"/>
  <w15:docId w15:val="{9EF20516-C314-4D76-A190-25CF5C9B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Dhanushree R</cp:lastModifiedBy>
  <cp:revision>2</cp:revision>
  <dcterms:created xsi:type="dcterms:W3CDTF">2026-08-31T04:26:00Z</dcterms:created>
  <dcterms:modified xsi:type="dcterms:W3CDTF">2026-08-31T04:26:00Z</dcterms:modified>
  <cp:category/>
</cp:coreProperties>
</file>