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CDC0C">
      <w:pPr>
        <w:jc w:val="center"/>
      </w:pPr>
      <w:bookmarkStart w:id="0" w:name="_GoBack"/>
      <w:bookmarkEnd w:id="0"/>
      <w:r>
        <w:rPr>
          <w:b/>
          <w:sz w:val="30"/>
        </w:rPr>
        <w:t>Code-Layout, Readability and Reusability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5472"/>
      </w:tblGrid>
      <w:tr w14:paraId="553C5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2A8AE4B5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w="5472" w:type="dxa"/>
            <w:vAlign w:val="center"/>
          </w:tcPr>
          <w:p w14:paraId="3A06DDA8">
            <w:pPr>
              <w:spacing w:after="0" w:line="240" w:lineRule="auto"/>
            </w:pPr>
            <w:r>
              <w:rPr>
                <w:rFonts w:hint="default"/>
              </w:rPr>
              <w:t>25/09/26</w:t>
            </w:r>
          </w:p>
        </w:tc>
      </w:tr>
      <w:tr w14:paraId="406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432CF97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w="5472" w:type="dxa"/>
            <w:vAlign w:val="center"/>
          </w:tcPr>
          <w:p w14:paraId="17E978FC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SWTID-2026-7436</w:t>
            </w:r>
          </w:p>
        </w:tc>
      </w:tr>
      <w:tr w14:paraId="0FC6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66E241C5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w="5472" w:type="dxa"/>
            <w:vAlign w:val="center"/>
          </w:tcPr>
          <w:p w14:paraId="56406E32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AI StudyBuddy</w:t>
            </w:r>
          </w:p>
        </w:tc>
      </w:tr>
    </w:tbl>
    <w:p w14:paraId="5F5EBEF7">
      <w:r>
        <w:rPr>
          <w:b/>
        </w:rPr>
        <w:t xml:space="preserve">Maximum Marks: </w:t>
      </w:r>
      <w:r>
        <w:t xml:space="preserve">5 Marks </w:t>
      </w:r>
    </w:p>
    <w:p w14:paraId="3FB78DB2">
      <w:r>
        <w:rPr>
          <w:b/>
        </w:rPr>
        <w:t>Code-Layout, Readability and Reusability:</w:t>
      </w:r>
      <w:r>
        <w:t xml:space="preserve"> This document evaluates the quality of the codebase in terms of its structure, readability, and reusability. The entries below are based only on the Team 3 project documentation. Where the documentation does not provide evidence, this is stated rather than inferred.</w:t>
      </w:r>
    </w:p>
    <w:p w14:paraId="1BD68ABC">
      <w:r>
        <w:rPr>
          <w:b/>
        </w:rPr>
        <w:t>Code Layout Checklist:</w:t>
      </w:r>
    </w:p>
    <w:tbl>
      <w:tblPr>
        <w:tblStyle w:val="35"/>
        <w:tblW w:w="112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2252"/>
        <w:gridCol w:w="2252"/>
        <w:gridCol w:w="2252"/>
        <w:gridCol w:w="2252"/>
      </w:tblGrid>
      <w:tr w14:paraId="3997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tblHeader/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2C5888B9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S.No</w:t>
            </w:r>
          </w:p>
        </w:tc>
        <w:tc>
          <w:tcPr>
            <w:tcW w:w="2252" w:type="dxa"/>
            <w:shd w:val="clear" w:color="auto" w:fill="D9EAF7"/>
            <w:vAlign w:val="center"/>
          </w:tcPr>
          <w:p w14:paraId="6D78EE63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Code Quality Parameter</w:t>
            </w:r>
          </w:p>
        </w:tc>
        <w:tc>
          <w:tcPr>
            <w:tcW w:w="2252" w:type="dxa"/>
            <w:shd w:val="clear" w:color="auto" w:fill="D9EAF7"/>
            <w:vAlign w:val="center"/>
          </w:tcPr>
          <w:p w14:paraId="50449758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2252" w:type="dxa"/>
            <w:shd w:val="clear" w:color="auto" w:fill="D9EAF7"/>
            <w:vAlign w:val="center"/>
          </w:tcPr>
          <w:p w14:paraId="727A7CC6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Followed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(Yes / No / Partial)</w:t>
            </w:r>
          </w:p>
        </w:tc>
        <w:tc>
          <w:tcPr>
            <w:tcW w:w="2252" w:type="dxa"/>
            <w:shd w:val="clear" w:color="auto" w:fill="D9EAF7"/>
            <w:vAlign w:val="center"/>
          </w:tcPr>
          <w:p w14:paraId="2243B2AB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Remarks</w:t>
            </w:r>
          </w:p>
        </w:tc>
      </w:tr>
      <w:tr w14:paraId="69CC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2252" w:type="dxa"/>
            <w:vAlign w:val="center"/>
          </w:tcPr>
          <w:p w14:paraId="3BC2931C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w="2252" w:type="dxa"/>
            <w:vAlign w:val="center"/>
          </w:tcPr>
          <w:p w14:paraId="37E68EF1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Consistent Indentation</w:t>
            </w:r>
          </w:p>
        </w:tc>
        <w:tc>
          <w:tcPr>
            <w:tcW w:w="2252" w:type="dxa"/>
            <w:vAlign w:val="center"/>
          </w:tcPr>
          <w:p w14:paraId="65730BDA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Uniform spacing/tabs used throughout the code</w:t>
            </w:r>
          </w:p>
        </w:tc>
        <w:tc>
          <w:tcPr>
            <w:tcW w:w="2252" w:type="dxa"/>
            <w:vAlign w:val="center"/>
          </w:tcPr>
          <w:p w14:paraId="42F2C83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Partial</w:t>
            </w:r>
          </w:p>
        </w:tc>
        <w:tc>
          <w:tcPr>
            <w:tcW w:w="2252" w:type="dxa"/>
            <w:vAlign w:val="center"/>
          </w:tcPr>
          <w:p w14:paraId="6A1CA3A1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Team 3 documentation does not describe indentation or spacing conventions.</w:t>
            </w:r>
          </w:p>
        </w:tc>
      </w:tr>
      <w:tr w14:paraId="2D3C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2252" w:type="dxa"/>
            <w:vAlign w:val="center"/>
          </w:tcPr>
          <w:p w14:paraId="7BBC9B74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w="2252" w:type="dxa"/>
            <w:vAlign w:val="center"/>
          </w:tcPr>
          <w:p w14:paraId="2E496155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Proper File Structure</w:t>
            </w:r>
          </w:p>
        </w:tc>
        <w:tc>
          <w:tcPr>
            <w:tcW w:w="2252" w:type="dxa"/>
            <w:vAlign w:val="center"/>
          </w:tcPr>
          <w:p w14:paraId="3E35A5D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Files and folders are logically organized</w:t>
            </w:r>
          </w:p>
        </w:tc>
        <w:tc>
          <w:tcPr>
            <w:tcW w:w="2252" w:type="dxa"/>
            <w:vAlign w:val="center"/>
          </w:tcPr>
          <w:p w14:paraId="3CC730D3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2252" w:type="dxa"/>
            <w:vAlign w:val="center"/>
          </w:tcPr>
          <w:p w14:paraId="63D97997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documentation provides a structured src/ directory with controllers, middleware, models, routes and utils, plus uploads and configuration files.</w:t>
            </w:r>
          </w:p>
        </w:tc>
      </w:tr>
      <w:tr w14:paraId="5BA3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9" w:hRule="atLeast"/>
          <w:jc w:val="center"/>
        </w:trPr>
        <w:tc>
          <w:tcPr>
            <w:tcW w:w="2252" w:type="dxa"/>
            <w:vAlign w:val="center"/>
          </w:tcPr>
          <w:p w14:paraId="7E3FCD75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2252" w:type="dxa"/>
            <w:vAlign w:val="center"/>
          </w:tcPr>
          <w:p w14:paraId="6603E9CA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Meaningful Variable Names</w:t>
            </w:r>
          </w:p>
        </w:tc>
        <w:tc>
          <w:tcPr>
            <w:tcW w:w="2252" w:type="dxa"/>
            <w:vAlign w:val="center"/>
          </w:tcPr>
          <w:p w14:paraId="6DD4B959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Variables reflect their purpose clearly</w:t>
            </w:r>
          </w:p>
        </w:tc>
        <w:tc>
          <w:tcPr>
            <w:tcW w:w="2252" w:type="dxa"/>
            <w:vAlign w:val="center"/>
          </w:tcPr>
          <w:p w14:paraId="05698BA7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Partial</w:t>
            </w:r>
          </w:p>
        </w:tc>
        <w:tc>
          <w:tcPr>
            <w:tcW w:w="2252" w:type="dxa"/>
            <w:vAlign w:val="center"/>
          </w:tcPr>
          <w:p w14:paraId="34615145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documentation shows meaningful project/file/endpoint names such as authController.js, materialController.js, admin.js and /api/materials; actual variable names are not documented.</w:t>
            </w:r>
          </w:p>
        </w:tc>
      </w:tr>
      <w:tr w14:paraId="5C58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2252" w:type="dxa"/>
            <w:vAlign w:val="center"/>
          </w:tcPr>
          <w:p w14:paraId="64C9D3C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w="2252" w:type="dxa"/>
            <w:vAlign w:val="center"/>
          </w:tcPr>
          <w:p w14:paraId="2775353F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Function / Method Names</w:t>
            </w:r>
          </w:p>
        </w:tc>
        <w:tc>
          <w:tcPr>
            <w:tcW w:w="2252" w:type="dxa"/>
            <w:vAlign w:val="center"/>
          </w:tcPr>
          <w:p w14:paraId="3322489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Functions are descriptively named</w:t>
            </w:r>
          </w:p>
        </w:tc>
        <w:tc>
          <w:tcPr>
            <w:tcW w:w="2252" w:type="dxa"/>
            <w:vAlign w:val="center"/>
          </w:tcPr>
          <w:p w14:paraId="5F4198D0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Partial</w:t>
            </w:r>
          </w:p>
        </w:tc>
        <w:tc>
          <w:tcPr>
            <w:tcW w:w="2252" w:type="dxa"/>
            <w:vAlign w:val="center"/>
          </w:tcPr>
          <w:p w14:paraId="1B011AD5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Controller and endpoint purposes are described, but individual function/method names are not provided in the documentation.</w:t>
            </w:r>
          </w:p>
        </w:tc>
      </w:tr>
      <w:tr w14:paraId="3545B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2252" w:type="dxa"/>
            <w:vAlign w:val="center"/>
          </w:tcPr>
          <w:p w14:paraId="47D10D15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w="2252" w:type="dxa"/>
            <w:vAlign w:val="center"/>
          </w:tcPr>
          <w:p w14:paraId="1AC415B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Code Comments</w:t>
            </w:r>
          </w:p>
        </w:tc>
        <w:tc>
          <w:tcPr>
            <w:tcW w:w="2252" w:type="dxa"/>
            <w:vAlign w:val="center"/>
          </w:tcPr>
          <w:p w14:paraId="769BEE8F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Inline and block comments explain code</w:t>
            </w:r>
          </w:p>
        </w:tc>
        <w:tc>
          <w:tcPr>
            <w:tcW w:w="2252" w:type="dxa"/>
            <w:vAlign w:val="center"/>
          </w:tcPr>
          <w:p w14:paraId="49E8850A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Not specified</w:t>
            </w:r>
          </w:p>
        </w:tc>
        <w:tc>
          <w:tcPr>
            <w:tcW w:w="2252" w:type="dxa"/>
            <w:vAlign w:val="center"/>
          </w:tcPr>
          <w:p w14:paraId="40D708FE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Team 3 documentation does not provide code comments or a commenting standard.</w:t>
            </w:r>
          </w:p>
        </w:tc>
      </w:tr>
      <w:tr w14:paraId="5B8F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2252" w:type="dxa"/>
            <w:vAlign w:val="center"/>
          </w:tcPr>
          <w:p w14:paraId="1A665454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w="2252" w:type="dxa"/>
            <w:vAlign w:val="center"/>
          </w:tcPr>
          <w:p w14:paraId="5C55B927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Modular Design</w:t>
            </w:r>
          </w:p>
        </w:tc>
        <w:tc>
          <w:tcPr>
            <w:tcW w:w="2252" w:type="dxa"/>
            <w:vAlign w:val="center"/>
          </w:tcPr>
          <w:p w14:paraId="077FAC5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Code is split into reusable functions/modules</w:t>
            </w:r>
          </w:p>
        </w:tc>
        <w:tc>
          <w:tcPr>
            <w:tcW w:w="2252" w:type="dxa"/>
            <w:vAlign w:val="center"/>
          </w:tcPr>
          <w:p w14:paraId="45C68EC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2252" w:type="dxa"/>
            <w:vAlign w:val="center"/>
          </w:tcPr>
          <w:p w14:paraId="2C647D01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architecture separates routing, security middleware, business controllers, database models and the AI service layer.</w:t>
            </w:r>
          </w:p>
        </w:tc>
      </w:tr>
      <w:tr w14:paraId="5EEA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  <w:jc w:val="center"/>
        </w:trPr>
        <w:tc>
          <w:tcPr>
            <w:tcW w:w="2252" w:type="dxa"/>
            <w:vAlign w:val="center"/>
          </w:tcPr>
          <w:p w14:paraId="5D25EB0A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w="2252" w:type="dxa"/>
            <w:vAlign w:val="center"/>
          </w:tcPr>
          <w:p w14:paraId="7F9A0E11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 Redundant Code</w:t>
            </w:r>
          </w:p>
        </w:tc>
        <w:tc>
          <w:tcPr>
            <w:tcW w:w="2252" w:type="dxa"/>
            <w:vAlign w:val="center"/>
          </w:tcPr>
          <w:p w14:paraId="1F870BE4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Duplicate or unused code is removed</w:t>
            </w:r>
          </w:p>
        </w:tc>
        <w:tc>
          <w:tcPr>
            <w:tcW w:w="2252" w:type="dxa"/>
            <w:vAlign w:val="center"/>
          </w:tcPr>
          <w:p w14:paraId="691815A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Not specified</w:t>
            </w:r>
          </w:p>
        </w:tc>
        <w:tc>
          <w:tcPr>
            <w:tcW w:w="2252" w:type="dxa"/>
            <w:vAlign w:val="center"/>
          </w:tcPr>
          <w:p w14:paraId="7AAB9FB5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Team 3 documentation does not state whether duplicate or unused code was removed.</w:t>
            </w:r>
          </w:p>
        </w:tc>
      </w:tr>
      <w:tr w14:paraId="6596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  <w:jc w:val="center"/>
        </w:trPr>
        <w:tc>
          <w:tcPr>
            <w:tcW w:w="2252" w:type="dxa"/>
            <w:vAlign w:val="center"/>
          </w:tcPr>
          <w:p w14:paraId="48976B98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w="2252" w:type="dxa"/>
            <w:vAlign w:val="center"/>
          </w:tcPr>
          <w:p w14:paraId="420409C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Error Handling</w:t>
            </w:r>
          </w:p>
        </w:tc>
        <w:tc>
          <w:tcPr>
            <w:tcW w:w="2252" w:type="dxa"/>
            <w:vAlign w:val="center"/>
          </w:tcPr>
          <w:p w14:paraId="1FA3DCFC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Exceptions and errors are handled gracefully</w:t>
            </w:r>
          </w:p>
        </w:tc>
        <w:tc>
          <w:tcPr>
            <w:tcW w:w="2252" w:type="dxa"/>
            <w:vAlign w:val="center"/>
          </w:tcPr>
          <w:p w14:paraId="749DE76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Partial</w:t>
            </w:r>
          </w:p>
        </w:tc>
        <w:tc>
          <w:tcPr>
            <w:tcW w:w="2252" w:type="dxa"/>
            <w:vAlign w:val="center"/>
          </w:tcPr>
          <w:p w14:paraId="2919226E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The documentation lists express-async-errors as a dependency but does not describe specific error-handling behavior.</w:t>
            </w:r>
          </w:p>
        </w:tc>
      </w:tr>
    </w:tbl>
    <w:p w14:paraId="562D7459"/>
    <w:p w14:paraId="069AEB12">
      <w:r>
        <w:rPr>
          <w:b/>
        </w:rPr>
        <w:t>Reusable Components / Modules:</w:t>
      </w:r>
    </w:p>
    <w:tbl>
      <w:tblPr>
        <w:tblStyle w:val="35"/>
        <w:tblW w:w="118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2276"/>
        <w:gridCol w:w="2276"/>
        <w:gridCol w:w="2372"/>
        <w:gridCol w:w="2610"/>
      </w:tblGrid>
      <w:tr w14:paraId="2E37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tblHeader/>
          <w:jc w:val="center"/>
        </w:trPr>
        <w:tc>
          <w:tcPr>
            <w:tcW w:w="2276" w:type="dxa"/>
            <w:shd w:val="clear" w:color="auto" w:fill="D9EAF7"/>
            <w:vAlign w:val="center"/>
          </w:tcPr>
          <w:p w14:paraId="0CCB0379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S.No</w:t>
            </w:r>
          </w:p>
        </w:tc>
        <w:tc>
          <w:tcPr>
            <w:tcW w:w="2276" w:type="dxa"/>
            <w:shd w:val="clear" w:color="auto" w:fill="D9EAF7"/>
            <w:vAlign w:val="center"/>
          </w:tcPr>
          <w:p w14:paraId="1E5BEF1B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Component / Module Name</w:t>
            </w:r>
          </w:p>
        </w:tc>
        <w:tc>
          <w:tcPr>
            <w:tcW w:w="2276" w:type="dxa"/>
            <w:shd w:val="clear" w:color="auto" w:fill="D9EAF7"/>
            <w:vAlign w:val="center"/>
          </w:tcPr>
          <w:p w14:paraId="689FBBE4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Language / Technology</w:t>
            </w:r>
          </w:p>
        </w:tc>
        <w:tc>
          <w:tcPr>
            <w:tcW w:w="2372" w:type="dxa"/>
            <w:shd w:val="clear" w:color="auto" w:fill="D9EAF7"/>
            <w:vAlign w:val="center"/>
          </w:tcPr>
          <w:p w14:paraId="355F8886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Where Reused</w:t>
            </w:r>
          </w:p>
        </w:tc>
        <w:tc>
          <w:tcPr>
            <w:tcW w:w="2610" w:type="dxa"/>
            <w:shd w:val="clear" w:color="auto" w:fill="D9EAF7"/>
            <w:vAlign w:val="center"/>
          </w:tcPr>
          <w:p w14:paraId="72A659A8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Reusability Level</w:t>
            </w:r>
          </w:p>
        </w:tc>
      </w:tr>
      <w:tr w14:paraId="67FE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276" w:type="dxa"/>
            <w:vAlign w:val="center"/>
          </w:tcPr>
          <w:p w14:paraId="5D5F481D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w="2276" w:type="dxa"/>
            <w:vAlign w:val="center"/>
          </w:tcPr>
          <w:p w14:paraId="57020DA9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Authentication Middleware (auth.js)</w:t>
            </w:r>
          </w:p>
        </w:tc>
        <w:tc>
          <w:tcPr>
            <w:tcW w:w="2276" w:type="dxa"/>
            <w:vAlign w:val="center"/>
          </w:tcPr>
          <w:p w14:paraId="60D489CF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Node.js / Express.js</w:t>
            </w:r>
          </w:p>
        </w:tc>
        <w:tc>
          <w:tcPr>
            <w:tcW w:w="2372" w:type="dxa"/>
            <w:vAlign w:val="center"/>
          </w:tcPr>
          <w:p w14:paraId="7E56EC71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Used to validate JWT access tokens, protect private routes and enforce role restrictions.</w:t>
            </w:r>
          </w:p>
        </w:tc>
        <w:tc>
          <w:tcPr>
            <w:tcW w:w="2610" w:type="dxa"/>
            <w:vAlign w:val="center"/>
          </w:tcPr>
          <w:p w14:paraId="48F65C2E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 w14:paraId="04B4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4" w:hRule="atLeast"/>
          <w:jc w:val="center"/>
        </w:trPr>
        <w:tc>
          <w:tcPr>
            <w:tcW w:w="2276" w:type="dxa"/>
            <w:vAlign w:val="center"/>
          </w:tcPr>
          <w:p w14:paraId="5C6432FF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w="2276" w:type="dxa"/>
            <w:vAlign w:val="center"/>
          </w:tcPr>
          <w:p w14:paraId="33765B16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Upload Middleware (upload.js)</w:t>
            </w:r>
          </w:p>
        </w:tc>
        <w:tc>
          <w:tcPr>
            <w:tcW w:w="2276" w:type="dxa"/>
            <w:vAlign w:val="center"/>
          </w:tcPr>
          <w:p w14:paraId="6D553BD6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Node.js / Express.js / multer</w:t>
            </w:r>
          </w:p>
        </w:tc>
        <w:tc>
          <w:tcPr>
            <w:tcW w:w="2372" w:type="dxa"/>
            <w:vAlign w:val="center"/>
          </w:tcPr>
          <w:p w14:paraId="65B6E929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Used for study-material file upload processing.</w:t>
            </w:r>
          </w:p>
        </w:tc>
        <w:tc>
          <w:tcPr>
            <w:tcW w:w="2610" w:type="dxa"/>
            <w:vAlign w:val="center"/>
          </w:tcPr>
          <w:p w14:paraId="500AC6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</w:tc>
      </w:tr>
      <w:tr w14:paraId="5D94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8" w:hRule="atLeast"/>
          <w:jc w:val="center"/>
        </w:trPr>
        <w:tc>
          <w:tcPr>
            <w:tcW w:w="2276" w:type="dxa"/>
            <w:vAlign w:val="center"/>
          </w:tcPr>
          <w:p w14:paraId="73DB9AF8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2276" w:type="dxa"/>
            <w:vAlign w:val="center"/>
          </w:tcPr>
          <w:p w14:paraId="342147C9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AI Service Layer (gemini.js)</w:t>
            </w:r>
          </w:p>
        </w:tc>
        <w:tc>
          <w:tcPr>
            <w:tcW w:w="2276" w:type="dxa"/>
            <w:vAlign w:val="center"/>
          </w:tcPr>
          <w:p w14:paraId="424DD00F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Node.js / @google/generative-ai / Gemini 2.5 Flash</w:t>
            </w:r>
          </w:p>
        </w:tc>
        <w:tc>
          <w:tcPr>
            <w:tcW w:w="2372" w:type="dxa"/>
            <w:vAlign w:val="center"/>
          </w:tcPr>
          <w:p w14:paraId="5F28242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Used for AI generation features including summaries, flashcards, quizzes and study plans.</w:t>
            </w:r>
          </w:p>
        </w:tc>
        <w:tc>
          <w:tcPr>
            <w:tcW w:w="2610" w:type="dxa"/>
            <w:vAlign w:val="center"/>
          </w:tcPr>
          <w:p w14:paraId="236D7EC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 w14:paraId="55BB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9" w:hRule="atLeast"/>
          <w:jc w:val="center"/>
        </w:trPr>
        <w:tc>
          <w:tcPr>
            <w:tcW w:w="2276" w:type="dxa"/>
            <w:vAlign w:val="center"/>
          </w:tcPr>
          <w:p w14:paraId="484A173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w="2276" w:type="dxa"/>
            <w:vAlign w:val="center"/>
          </w:tcPr>
          <w:p w14:paraId="1E0E67C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Database Layer (db.js; MongoDB + Mongoose)</w:t>
            </w:r>
          </w:p>
        </w:tc>
        <w:tc>
          <w:tcPr>
            <w:tcW w:w="2276" w:type="dxa"/>
            <w:vAlign w:val="center"/>
          </w:tcPr>
          <w:p w14:paraId="50C03D3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Node.js / MongoDB / Mongoose ODM</w:t>
            </w:r>
          </w:p>
        </w:tc>
        <w:tc>
          <w:tcPr>
            <w:tcW w:w="2372" w:type="dxa"/>
            <w:vAlign w:val="center"/>
          </w:tcPr>
          <w:p w14:paraId="3362A6F2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Used for schema enforcement, persistence and data relationships.</w:t>
            </w:r>
          </w:p>
        </w:tc>
        <w:tc>
          <w:tcPr>
            <w:tcW w:w="2610" w:type="dxa"/>
            <w:vAlign w:val="center"/>
          </w:tcPr>
          <w:p w14:paraId="6BEE9AB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Medium</w:t>
            </w:r>
          </w:p>
        </w:tc>
      </w:tr>
      <w:tr w14:paraId="2E44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276" w:type="dxa"/>
            <w:vAlign w:val="center"/>
          </w:tcPr>
          <w:p w14:paraId="119AEBDB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w="2276" w:type="dxa"/>
            <w:vAlign w:val="center"/>
          </w:tcPr>
          <w:p w14:paraId="691244A9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Route / Controller Modules (auth.js, materials.js, admin.js; corresponding controllers)</w:t>
            </w:r>
          </w:p>
        </w:tc>
        <w:tc>
          <w:tcPr>
            <w:tcW w:w="2276" w:type="dxa"/>
            <w:vAlign w:val="center"/>
          </w:tcPr>
          <w:p w14:paraId="1D2A1317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Node.js / Express.js</w:t>
            </w:r>
          </w:p>
        </w:tc>
        <w:tc>
          <w:tcPr>
            <w:tcW w:w="2372" w:type="dxa"/>
            <w:vAlign w:val="center"/>
          </w:tcPr>
          <w:p w14:paraId="25399957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Separates authentication, material/AI features and administrative operations.</w:t>
            </w:r>
          </w:p>
        </w:tc>
        <w:tc>
          <w:tcPr>
            <w:tcW w:w="2610" w:type="dxa"/>
            <w:vAlign w:val="center"/>
          </w:tcPr>
          <w:p w14:paraId="79AB38C3"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</w:tbl>
    <w:p w14:paraId="7C3732EE">
      <w:r>
        <w:br w:type="page"/>
      </w:r>
    </w:p>
    <w:p w14:paraId="685C3B81">
      <w:pPr>
        <w:jc w:val="center"/>
      </w:pPr>
      <w:r>
        <w:rPr>
          <w:b/>
          <w:sz w:val="26"/>
        </w:rPr>
        <w:t>Overall Code Quality Assessment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8"/>
        <w:gridCol w:w="3726"/>
      </w:tblGrid>
      <w:tr w14:paraId="18DF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48" w:type="dxa"/>
            <w:shd w:val="clear" w:color="auto" w:fill="D9EAF7"/>
            <w:vAlign w:val="center"/>
          </w:tcPr>
          <w:p w14:paraId="421D6765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Aspect</w:t>
            </w:r>
          </w:p>
        </w:tc>
        <w:tc>
          <w:tcPr>
            <w:tcW w:w="3648" w:type="dxa"/>
            <w:shd w:val="clear" w:color="auto" w:fill="D9EAF7"/>
            <w:vAlign w:val="center"/>
          </w:tcPr>
          <w:p w14:paraId="003D3C28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Rating (1–5)</w:t>
            </w:r>
          </w:p>
        </w:tc>
        <w:tc>
          <w:tcPr>
            <w:tcW w:w="3726" w:type="dxa"/>
            <w:shd w:val="clear" w:color="auto" w:fill="D9EAF7"/>
            <w:vAlign w:val="center"/>
          </w:tcPr>
          <w:p w14:paraId="21DCFF14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 w14:paraId="4F34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1" w:hRule="atLeast"/>
          <w:jc w:val="center"/>
        </w:trPr>
        <w:tc>
          <w:tcPr>
            <w:tcW w:w="3648" w:type="dxa"/>
            <w:vAlign w:val="center"/>
          </w:tcPr>
          <w:p w14:paraId="374AB57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Code Layout &amp; Structure</w:t>
            </w:r>
          </w:p>
        </w:tc>
        <w:tc>
          <w:tcPr>
            <w:tcW w:w="3648" w:type="dxa"/>
            <w:vAlign w:val="center"/>
          </w:tcPr>
          <w:p w14:paraId="37E9192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rated</w:t>
            </w:r>
          </w:p>
        </w:tc>
        <w:tc>
          <w:tcPr>
            <w:tcW w:w="3726" w:type="dxa"/>
            <w:vAlign w:val="center"/>
          </w:tcPr>
          <w:p w14:paraId="0DCE48D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documentation explicitly describes a decoupled, layered RESTful architecture and a structured directory layout.</w:t>
            </w:r>
          </w:p>
        </w:tc>
      </w:tr>
      <w:tr w14:paraId="5600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1" w:hRule="atLeast"/>
          <w:jc w:val="center"/>
        </w:trPr>
        <w:tc>
          <w:tcPr>
            <w:tcW w:w="3648" w:type="dxa"/>
            <w:vAlign w:val="center"/>
          </w:tcPr>
          <w:p w14:paraId="50AF1C3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Readability</w:t>
            </w:r>
          </w:p>
        </w:tc>
        <w:tc>
          <w:tcPr>
            <w:tcW w:w="3648" w:type="dxa"/>
            <w:vAlign w:val="center"/>
          </w:tcPr>
          <w:p w14:paraId="72F5F6E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rated</w:t>
            </w:r>
          </w:p>
        </w:tc>
        <w:tc>
          <w:tcPr>
            <w:tcW w:w="3726" w:type="dxa"/>
            <w:vAlign w:val="center"/>
          </w:tcPr>
          <w:p w14:paraId="3D11EC9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documentation describes clear separation of routes, controllers, middleware, models and utilities, but does not provide a direct readability assessment.</w:t>
            </w:r>
          </w:p>
        </w:tc>
      </w:tr>
      <w:tr w14:paraId="0BEE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1" w:hRule="atLeast"/>
          <w:jc w:val="center"/>
        </w:trPr>
        <w:tc>
          <w:tcPr>
            <w:tcW w:w="3648" w:type="dxa"/>
            <w:vAlign w:val="center"/>
          </w:tcPr>
          <w:p w14:paraId="5BEEB34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Reusability</w:t>
            </w:r>
          </w:p>
        </w:tc>
        <w:tc>
          <w:tcPr>
            <w:tcW w:w="3648" w:type="dxa"/>
            <w:vAlign w:val="center"/>
          </w:tcPr>
          <w:p w14:paraId="1B19ED0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rated</w:t>
            </w:r>
          </w:p>
        </w:tc>
        <w:tc>
          <w:tcPr>
            <w:tcW w:w="3726" w:type="dxa"/>
            <w:vAlign w:val="center"/>
          </w:tcPr>
          <w:p w14:paraId="0B03632E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architecture uses separated modules such as middleware, controllers, routes and the AI service layer; no numerical reusability rating is provided.</w:t>
            </w:r>
          </w:p>
        </w:tc>
      </w:tr>
      <w:tr w14:paraId="0878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1" w:hRule="atLeast"/>
          <w:jc w:val="center"/>
        </w:trPr>
        <w:tc>
          <w:tcPr>
            <w:tcW w:w="3648" w:type="dxa"/>
            <w:vAlign w:val="center"/>
          </w:tcPr>
          <w:p w14:paraId="3C2D745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Documentation / Comments</w:t>
            </w:r>
          </w:p>
        </w:tc>
        <w:tc>
          <w:tcPr>
            <w:tcW w:w="3648" w:type="dxa"/>
            <w:vAlign w:val="center"/>
          </w:tcPr>
          <w:p w14:paraId="78AF039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rated</w:t>
            </w:r>
          </w:p>
        </w:tc>
        <w:tc>
          <w:tcPr>
            <w:tcW w:w="3726" w:type="dxa"/>
            <w:vAlign w:val="center"/>
          </w:tcPr>
          <w:p w14:paraId="7DEC50D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project documentation is detailed about architecture, setup and API demonstrations, but it does not document the code-comment practice.</w:t>
            </w:r>
          </w:p>
        </w:tc>
      </w:tr>
      <w:tr w14:paraId="1D90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1" w:hRule="atLeast"/>
          <w:jc w:val="center"/>
        </w:trPr>
        <w:tc>
          <w:tcPr>
            <w:tcW w:w="3648" w:type="dxa"/>
            <w:vAlign w:val="center"/>
          </w:tcPr>
          <w:p w14:paraId="60087EC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Overall Score</w:t>
            </w:r>
          </w:p>
        </w:tc>
        <w:tc>
          <w:tcPr>
            <w:tcW w:w="3648" w:type="dxa"/>
            <w:vAlign w:val="center"/>
          </w:tcPr>
          <w:p w14:paraId="64F3765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rated</w:t>
            </w:r>
          </w:p>
        </w:tc>
        <w:tc>
          <w:tcPr>
            <w:tcW w:w="3726" w:type="dxa"/>
            <w:vAlign w:val="center"/>
          </w:tcPr>
          <w:p w14:paraId="04F02A5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Team 3 documentation does not provide a 1–5 score, so no score has been invented.</w:t>
            </w:r>
          </w:p>
        </w:tc>
      </w:tr>
    </w:tbl>
    <w:p w14:paraId="7110B957"/>
    <w:sectPr>
      <w:pgSz w:w="12240" w:h="15840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FF4D6B"/>
    <w:rsid w:val="6740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522</Words>
  <Characters>3279</Characters>
  <Lines>0</Lines>
  <Paragraphs>0</Paragraphs>
  <TotalTime>41</TotalTime>
  <ScaleCrop>false</ScaleCrop>
  <LinksUpToDate>false</LinksUpToDate>
  <CharactersWithSpaces>3696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2026-09-30T04:03:06Z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eyJoZGlkIjoiY2NjZjA3OWU4Mzg1ODE0Y2UyMzBkMDk3YWRiOTc1YjgifQ==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D6D291D9A9194E8E990EC17299206D12_13</vt:lpwstr>
  </property>
</Properties>
</file>