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r>
        <w:rPr>
          <w:rFonts w:ascii="Segoe UI" w:hAnsi="Segoe UI"/>
          <w:b/>
          <w:color w:val="9A4F00"/>
          <w:sz w:val="22"/>
        </w:rPr>
        <w:t>TEAMOMF</w:t>
      </w:r>
    </w:p>
    <w:p>
      <w:pPr>
        <w:pStyle w:val="Title"/>
        <w:spacing w:after="40"/>
      </w:pPr>
      <w:r>
        <w:t>TEAMOMF Developer Portal</w:t>
      </w:r>
    </w:p>
    <w:p>
      <w:pPr>
        <w:spacing w:after="360"/>
        <w:pBdr>
          <w:bottom w:val="single" w:sz="20" w:space="6" w:color="FF9933"/>
        </w:pBdr>
      </w:pPr>
    </w:p>
    <w:p>
      <w:pPr>
        <w:spacing w:after="520"/>
      </w:pPr>
      <w:r>
        <w:rPr>
          <w:color w:val="4A5273"/>
          <w:sz w:val="28"/>
        </w:rPr>
        <w:t>An introduction to Backstage and the platform we built on it</w:t>
      </w:r>
    </w:p>
    <w:p>
      <w:pPr>
        <w:spacing w:after="600"/>
      </w:pPr>
      <w:r>
        <w:t>A guide for the TEAMOMF engineering team: what an internal developer portal is, what Backstage gives us out of the box, and what we built on top of it - the catalog, the golden-path templates, the persona model and the credential login that are specific to us.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val="clear" w:color="auto" w:fill="000080"/>
          </w:tcPr>
          <w:p>
            <w:pPr>
              <w:spacing w:before="80" w:after="80"/>
            </w:pPr>
            <w:r/>
            <w:r>
              <w:rPr>
                <w:b/>
                <w:color w:val="FFFFFF"/>
                <w:sz w:val="19"/>
              </w:rPr>
            </w:r>
          </w:p>
        </w:tc>
        <w:tc>
          <w:tcPr>
            <w:tcW w:type="dxa" w:w="6912"/>
            <w:shd w:val="clear" w:color="auto" w:fill="000080"/>
          </w:tcPr>
          <w:p>
            <w:pPr>
              <w:spacing w:before="80" w:after="80"/>
            </w:pPr>
            <w:r/>
            <w:r>
              <w:rPr>
                <w:b/>
                <w:color w:val="FFFFFF"/>
                <w:sz w:val="19"/>
              </w:rPr>
            </w:r>
          </w:p>
        </w:tc>
      </w:tr>
      <w:tr>
        <w:tc>
          <w:tcPr>
            <w:tcW w:type="dxa" w:w="2448"/>
          </w:tcPr>
          <w:p>
            <w:pPr>
              <w:spacing w:before="60" w:after="60" w:line="269" w:lineRule="auto"/>
            </w:pPr>
            <w:r/>
            <w:r>
              <w:rPr>
                <w:b/>
                <w:sz w:val="19"/>
              </w:rPr>
              <w:t>Prepared by</w:t>
            </w:r>
          </w:p>
        </w:tc>
        <w:tc>
          <w:tcPr>
            <w:tcW w:type="dxa" w:w="6912"/>
          </w:tcPr>
          <w:p>
            <w:pPr>
              <w:spacing w:before="60" w:after="60" w:line="269" w:lineRule="auto"/>
            </w:pPr>
            <w:r/>
            <w:r>
              <w:rPr>
                <w:sz w:val="19"/>
              </w:rPr>
              <w:t>Dhanush Singamala - Platform Engineering</w:t>
            </w:r>
          </w:p>
        </w:tc>
      </w:tr>
      <w:tr>
        <w:tc>
          <w:tcPr>
            <w:tcW w:type="dxa" w:w="2448"/>
            <w:shd w:val="clear" w:color="auto" w:fill="F5F7FB"/>
          </w:tcPr>
          <w:p>
            <w:pPr>
              <w:spacing w:before="60" w:after="60" w:line="269" w:lineRule="auto"/>
            </w:pPr>
            <w:r/>
            <w:r>
              <w:rPr>
                <w:b/>
                <w:sz w:val="19"/>
              </w:rPr>
              <w:t>Date</w:t>
            </w:r>
          </w:p>
        </w:tc>
        <w:tc>
          <w:tcPr>
            <w:tcW w:type="dxa" w:w="6912"/>
            <w:shd w:val="clear" w:color="auto" w:fill="F5F7FB"/>
          </w:tcPr>
          <w:p>
            <w:pPr>
              <w:spacing w:before="60" w:after="60" w:line="269" w:lineRule="auto"/>
            </w:pPr>
            <w:r/>
            <w:r>
              <w:rPr>
                <w:sz w:val="19"/>
              </w:rPr>
              <w:t>September 2026</w:t>
            </w:r>
          </w:p>
        </w:tc>
      </w:tr>
      <w:tr>
        <w:tc>
          <w:tcPr>
            <w:tcW w:type="dxa" w:w="2448"/>
          </w:tcPr>
          <w:p>
            <w:pPr>
              <w:spacing w:before="60" w:after="60" w:line="269" w:lineRule="auto"/>
            </w:pPr>
            <w:r/>
            <w:r>
              <w:rPr>
                <w:b/>
                <w:sz w:val="19"/>
              </w:rPr>
              <w:t>Backstage version</w:t>
            </w:r>
          </w:p>
        </w:tc>
        <w:tc>
          <w:tcPr>
            <w:tcW w:type="dxa" w:w="6912"/>
          </w:tcPr>
          <w:p>
            <w:pPr>
              <w:spacing w:before="60" w:after="60" w:line="269" w:lineRule="auto"/>
            </w:pPr>
            <w:r/>
            <w:r>
              <w:rPr>
                <w:sz w:val="19"/>
              </w:rPr>
              <w:t>1.54.0</w:t>
            </w:r>
          </w:p>
        </w:tc>
      </w:tr>
      <w:tr>
        <w:tc>
          <w:tcPr>
            <w:tcW w:type="dxa" w:w="2448"/>
            <w:shd w:val="clear" w:color="auto" w:fill="F5F7FB"/>
          </w:tcPr>
          <w:p>
            <w:pPr>
              <w:spacing w:before="60" w:after="60" w:line="269" w:lineRule="auto"/>
            </w:pPr>
            <w:r/>
            <w:r>
              <w:rPr>
                <w:b/>
                <w:sz w:val="19"/>
              </w:rPr>
              <w:t>Audience</w:t>
            </w:r>
          </w:p>
        </w:tc>
        <w:tc>
          <w:tcPr>
            <w:tcW w:type="dxa" w:w="6912"/>
            <w:shd w:val="clear" w:color="auto" w:fill="F5F7FB"/>
          </w:tcPr>
          <w:p>
            <w:pPr>
              <w:spacing w:before="60" w:after="60" w:line="269" w:lineRule="auto"/>
            </w:pPr>
            <w:r/>
            <w:r>
              <w:rPr>
                <w:sz w:val="19"/>
              </w:rPr>
              <w:t>TEAMOMF engineers, tech leads and engineering managers</w:t>
            </w:r>
          </w:p>
        </w:tc>
      </w:tr>
      <w:tr>
        <w:tc>
          <w:tcPr>
            <w:tcW w:type="dxa" w:w="2448"/>
          </w:tcPr>
          <w:p>
            <w:pPr>
              <w:spacing w:before="60" w:after="60" w:line="269" w:lineRule="auto"/>
            </w:pPr>
            <w:r/>
            <w:r>
              <w:rPr>
                <w:b/>
                <w:sz w:val="19"/>
              </w:rPr>
              <w:t>Status</w:t>
            </w:r>
          </w:p>
        </w:tc>
        <w:tc>
          <w:tcPr>
            <w:tcW w:type="dxa" w:w="6912"/>
          </w:tcPr>
          <w:p>
            <w:pPr>
              <w:spacing w:before="60" w:after="60" w:line="269" w:lineRule="auto"/>
            </w:pPr>
            <w:r/>
            <w:r>
              <w:rPr>
                <w:sz w:val="19"/>
              </w:rPr>
              <w:t>Internal - working portal, local development environment</w:t>
            </w:r>
          </w:p>
        </w:tc>
      </w:tr>
    </w:tbl>
    <w:p>
      <w:r>
        <w:br w:type="page"/>
      </w:r>
    </w:p>
    <w:p>
      <w:pPr>
        <w:pStyle w:val="Heading1"/>
      </w:pPr>
      <w:r>
        <w:t>Contents</w:t>
      </w:r>
    </w:p>
    <w:p>
      <w:pPr>
        <w:spacing w:after="60"/>
      </w:pPr>
      <w:r>
        <w:rPr>
          <w:sz w:val="21"/>
        </w:rPr>
        <w:t>1.  Why we built this</w:t>
      </w:r>
    </w:p>
    <w:p>
      <w:pPr>
        <w:spacing w:after="60"/>
      </w:pPr>
      <w:r>
        <w:rPr>
          <w:sz w:val="21"/>
        </w:rPr>
        <w:t>2.  What Backstage is</w:t>
      </w:r>
    </w:p>
    <w:p>
      <w:pPr>
        <w:spacing w:after="60"/>
      </w:pPr>
      <w:r>
        <w:rPr>
          <w:sz w:val="21"/>
        </w:rPr>
        <w:t>3.  The TEAMOMF Developer Portal at a glance</w:t>
      </w:r>
    </w:p>
    <w:p>
      <w:pPr>
        <w:spacing w:after="60"/>
      </w:pPr>
      <w:r>
        <w:rPr>
          <w:sz w:val="21"/>
        </w:rPr>
        <w:t>4.  Architecture</w:t>
      </w:r>
    </w:p>
    <w:p>
      <w:pPr>
        <w:spacing w:after="60"/>
      </w:pPr>
      <w:r>
        <w:rPr>
          <w:sz w:val="21"/>
        </w:rPr>
        <w:t>5.  Repository map</w:t>
      </w:r>
    </w:p>
    <w:p>
      <w:pPr>
        <w:spacing w:after="60"/>
      </w:pPr>
      <w:r>
        <w:rPr>
          <w:sz w:val="21"/>
        </w:rPr>
        <w:t>6.  Signing in: TEAMOMF credential login</w:t>
      </w:r>
    </w:p>
    <w:p>
      <w:pPr>
        <w:spacing w:after="60"/>
      </w:pPr>
      <w:r>
        <w:rPr>
          <w:sz w:val="21"/>
        </w:rPr>
        <w:t>7.  Personas and capabilities</w:t>
      </w:r>
    </w:p>
    <w:p>
      <w:pPr>
        <w:spacing w:after="60"/>
      </w:pPr>
      <w:r>
        <w:rPr>
          <w:sz w:val="21"/>
        </w:rPr>
        <w:t>8.  The org chart and the provisioning CLI</w:t>
      </w:r>
    </w:p>
    <w:p>
      <w:pPr>
        <w:spacing w:after="60"/>
      </w:pPr>
      <w:r>
        <w:rPr>
          <w:sz w:val="21"/>
        </w:rPr>
        <w:t>9.  The software catalog</w:t>
      </w:r>
    </w:p>
    <w:p>
      <w:pPr>
        <w:spacing w:after="60"/>
      </w:pPr>
      <w:r>
        <w:rPr>
          <w:sz w:val="21"/>
        </w:rPr>
        <w:t>10. Golden paths: our three software templates</w:t>
      </w:r>
    </w:p>
    <w:p>
      <w:pPr>
        <w:spacing w:after="60"/>
      </w:pPr>
      <w:r>
        <w:rPr>
          <w:sz w:val="21"/>
        </w:rPr>
        <w:t>11. TechDocs</w:t>
      </w:r>
    </w:p>
    <w:p>
      <w:pPr>
        <w:spacing w:after="60"/>
      </w:pPr>
      <w:r>
        <w:rPr>
          <w:sz w:val="21"/>
        </w:rPr>
        <w:t>12. The home page</w:t>
      </w:r>
    </w:p>
    <w:p>
      <w:pPr>
        <w:spacing w:after="60"/>
      </w:pPr>
      <w:r>
        <w:rPr>
          <w:sz w:val="21"/>
        </w:rPr>
        <w:t>13. Look and feel</w:t>
      </w:r>
    </w:p>
    <w:p>
      <w:pPr>
        <w:spacing w:after="60"/>
      </w:pPr>
      <w:r>
        <w:rPr>
          <w:sz w:val="21"/>
        </w:rPr>
        <w:t>14. Reference service: teamomf-orders-service</w:t>
      </w:r>
    </w:p>
    <w:p>
      <w:pPr>
        <w:spacing w:after="60"/>
      </w:pPr>
      <w:r>
        <w:rPr>
          <w:sz w:val="21"/>
        </w:rPr>
        <w:t>15. CI and the GitHub integration</w:t>
      </w:r>
    </w:p>
    <w:p>
      <w:pPr>
        <w:spacing w:after="60"/>
      </w:pPr>
      <w:r>
        <w:rPr>
          <w:sz w:val="21"/>
        </w:rPr>
        <w:t>16. Security choices worth knowing</w:t>
      </w:r>
    </w:p>
    <w:p>
      <w:pPr>
        <w:spacing w:after="60"/>
      </w:pPr>
      <w:r>
        <w:rPr>
          <w:sz w:val="21"/>
        </w:rPr>
        <w:t>17. Your first day on the portal</w:t>
      </w:r>
    </w:p>
    <w:p>
      <w:pPr>
        <w:spacing w:after="60"/>
      </w:pPr>
      <w:r>
        <w:rPr>
          <w:sz w:val="21"/>
        </w:rPr>
        <w:t>18. Running it locally</w:t>
      </w:r>
    </w:p>
    <w:p>
      <w:pPr>
        <w:spacing w:after="60"/>
      </w:pPr>
      <w:r>
        <w:rPr>
          <w:sz w:val="21"/>
        </w:rPr>
        <w:t>19. Testing and quality</w:t>
      </w:r>
    </w:p>
    <w:p>
      <w:pPr>
        <w:spacing w:after="60"/>
      </w:pPr>
      <w:r>
        <w:rPr>
          <w:sz w:val="21"/>
        </w:rPr>
        <w:t>20. What comes next</w:t>
      </w:r>
    </w:p>
    <w:p>
      <w:pPr>
        <w:spacing w:after="60"/>
      </w:pPr>
      <w:r>
        <w:rPr>
          <w:sz w:val="21"/>
        </w:rPr>
        <w:t>21. Glossary</w:t>
      </w:r>
    </w:p>
    <w:p>
      <w:r>
        <w:br w:type="page"/>
      </w:r>
    </w:p>
    <w:p>
      <w:pPr>
        <w:pStyle w:val="Heading1"/>
      </w:pPr>
      <w:r>
        <w:t>1.  Why we built this</w:t>
      </w:r>
    </w:p>
    <w:p>
      <w:pPr/>
      <w:r>
        <w:t>Engineering knowledge tends to live in three unreliable places: in someone's head, in a wiki page that was accurate eight months ago, and in a Slack thread nobody can find. The cost is quiet but constant.</w:t>
      </w:r>
    </w:p>
    <w:p>
      <w:pPr>
        <w:pStyle w:val="ListBullet"/>
      </w:pPr>
      <w:r>
        <w:rPr>
          <w:b/>
        </w:rPr>
        <w:t xml:space="preserve">Ownership is unclear - </w:t>
      </w:r>
      <w:r>
        <w:t>when something breaks, the first ten minutes go into working out whose service it is.</w:t>
      </w:r>
    </w:p>
    <w:p>
      <w:pPr>
        <w:pStyle w:val="ListBullet"/>
      </w:pPr>
      <w:r>
        <w:rPr>
          <w:b/>
        </w:rPr>
        <w:t xml:space="preserve">Onboarding is slow - </w:t>
      </w:r>
      <w:r>
        <w:t>a new engineer cannot answer "what do we run, and where does the code live?" without interrupting three people.</w:t>
      </w:r>
    </w:p>
    <w:p>
      <w:pPr>
        <w:pStyle w:val="ListBullet"/>
      </w:pPr>
      <w:r>
        <w:rPr>
          <w:b/>
        </w:rPr>
        <w:t xml:space="preserve">Every new service is bespoke - </w:t>
      </w:r>
      <w:r>
        <w:t>the fifth service gets a different directory layout, a different health check and a different CI file from the first four, because each was started by hand.</w:t>
      </w:r>
    </w:p>
    <w:p>
      <w:pPr>
        <w:pStyle w:val="ListBullet"/>
      </w:pPr>
      <w:r>
        <w:rPr>
          <w:b/>
        </w:rPr>
        <w:t xml:space="preserve">Documentation drifts - </w:t>
      </w:r>
      <w:r>
        <w:t>because it lives away from the code and is never part of the review.</w:t>
      </w:r>
    </w:p>
    <w:p>
      <w:pPr/>
      <w:r>
        <w:t>An internal developer portal fixes this by making one place authoritative. TEAMOMF's portal is built on Backstage, the open-source portal framework originally created at Spotify and now a CNCF project. We chose it because it is a framework rather than a product: the parts that are the same everywhere come for free, and the parts that are specific to TEAMOMF - how we log in, who is allowed to do what - are plugins we own.</w:t>
      </w:r>
    </w:p>
    <w:p>
      <w:pPr>
        <w:spacing w:before="200" w:after="40"/>
        <w:ind w:left="144"/>
        <w:shd w:val="clear" w:color="auto" w:fill="E8ECF9"/>
        <w:pBdr>
          <w:left w:val="single" w:sz="18" w:space="4" w:color="000080"/>
          <w:top w:val="single" w:sz="4" w:space="4" w:color="E8ECF9"/>
        </w:pBdr>
      </w:pPr>
      <w:r>
        <w:rPr>
          <w:b/>
          <w:color w:val="000080"/>
          <w:sz w:val="17"/>
        </w:rPr>
        <w:t>THE ONE-SENTENCE VERSION</w:t>
      </w:r>
    </w:p>
    <w:p>
      <w:pPr>
        <w:spacing w:before="0" w:after="240" w:line="288" w:lineRule="auto"/>
        <w:ind w:left="144"/>
        <w:shd w:val="clear" w:color="auto" w:fill="E8ECF9"/>
        <w:pBdr>
          <w:left w:val="single" w:sz="18" w:space="4" w:color="000080"/>
          <w:bottom w:val="single" w:sz="4" w:space="4" w:color="E8ECF9"/>
        </w:pBdr>
      </w:pPr>
      <w:r>
        <w:rPr>
          <w:sz w:val="20"/>
        </w:rPr>
        <w:t>The TEAMOMF Developer Portal is the single front door to TEAMOMF engineering: it tells you what we run and who owns it, it lets you create a new service that already follows our conventions, and it serves the documentation from the same repository as the code.</w:t>
      </w:r>
    </w:p>
    <w:p>
      <w:pPr>
        <w:pStyle w:val="Heading1"/>
      </w:pPr>
      <w:r>
        <w:t>2.  What Backstage is</w:t>
      </w:r>
    </w:p>
    <w:p>
      <w:pPr/>
      <w:r>
        <w:t>Backstage is a framework for building a developer portal. Four pillars carry almost all of the value; everything else is a plugin.</w:t>
      </w:r>
    </w:p>
    <w:p>
      <w:pPr>
        <w:pStyle w:val="Heading2"/>
      </w:pPr>
      <w:r>
        <w:t>2.1  Software Catalog</w:t>
      </w:r>
    </w:p>
    <w:p>
      <w:pPr/>
      <w:r>
        <w:t>One inventory of every service, API, resource, team and person, described by a catalog-info.yaml that lives next to the code it describes. Ownership stops being tribal knowledge.</w:t>
      </w:r>
    </w:p>
    <w:p>
      <w:pPr>
        <w:pStyle w:val="Heading2"/>
      </w:pPr>
      <w:r>
        <w:t>2.2  Software Templates</w:t>
      </w:r>
    </w:p>
    <w:p>
      <w:pPr/>
      <w:r>
        <w:t>The scaffolder. A parameterised wizard that generates a repository from a reviewed skeleton, pushes it to GitHub and registers it in the catalog. This is how a golden path is enforced instead of documented.</w:t>
      </w:r>
    </w:p>
    <w:p>
      <w:pPr>
        <w:pStyle w:val="Heading2"/>
      </w:pPr>
      <w:r>
        <w:t>2.3  TechDocs</w:t>
      </w:r>
    </w:p>
    <w:p>
      <w:pPr/>
      <w:r>
        <w:t>Docs-as-code. Markdown and mkdocs.yml sit in the service repository; the portal builds and serves them, so documentation is versioned with the code and reviewed in the same pull request.</w:t>
      </w:r>
    </w:p>
    <w:p>
      <w:pPr>
        <w:pStyle w:val="Heading2"/>
      </w:pPr>
      <w:r>
        <w:t>2.4  Search &amp; Plugins</w:t>
      </w:r>
    </w:p>
    <w:p>
      <w:pPr/>
      <w:r>
        <w:t>Catalog and TechDocs are indexed into one search box. Everything else in Backstage is a plugin, front-end and back-end alike, which is how we added TEAMOMF login and TEAMOMF permissions without forking.</w:t>
      </w:r>
    </w:p>
    <w:p>
      <w:pPr>
        <w:pStyle w:val="Heading2"/>
      </w:pPr>
      <w:r>
        <w:t>2.5  How the pieces relate</w:t>
      </w:r>
    </w:p>
    <w:p>
      <w:pPr/>
      <w:r>
        <w:t>The catalog is the centre of gravity. Templates write into it, TechDocs hangs off it, search indexes it, and permissions are decided from it. That is why the entity model is worth ten minutes of your attention even if you never write a plugin.</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8"/>
          <w:rFonts w:ascii="Consolas" w:hAnsi="Consolas" w:cs="Consolas"/>
        </w:rPr>
        <w:t>Group  ──owns──▶  Component ──providesApis──▶  API</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 xml:space="preserve">  ▲                   │                          │</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 xml:space="preserve">  │                   ├──part of──▶  System  ◀───┘</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memberOf              │</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 xml:space="preserve">  │                   └──techdocs-ref──▶  TechDocs site</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User                  └──project-slug──▶  GitHub repo + Actions</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Template ──creates──▶  GitHub repo ──registers──▶  Component + API</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8"/>
          <w:rFonts w:ascii="Consolas" w:hAnsi="Consolas" w:cs="Consolas"/>
        </w:rPr>
        <w:t xml:space="preserve">    </w:t>
      </w:r>
    </w:p>
    <w:p>
      <w:pPr>
        <w:pStyle w:val="Caption"/>
      </w:pPr>
      <w:r>
        <w:t>The TEAMOMF entity graph. Every arrow is a real annotation or spec field in a catalog-info.yaml, not a diagram convention.</w:t>
      </w:r>
    </w:p>
    <w:p>
      <w:pPr>
        <w:spacing w:before="200" w:after="40"/>
        <w:ind w:left="144"/>
        <w:shd w:val="clear" w:color="auto" w:fill="E6F4E4"/>
        <w:pBdr>
          <w:left w:val="single" w:sz="18" w:space="4" w:color="138808"/>
          <w:top w:val="single" w:sz="4" w:space="4" w:color="E6F4E4"/>
        </w:pBdr>
      </w:pPr>
      <w:r>
        <w:rPr>
          <w:b/>
          <w:color w:val="138808"/>
          <w:sz w:val="17"/>
        </w:rPr>
        <w:t>THE RULE THAT MAKES IT WORK</w:t>
      </w:r>
    </w:p>
    <w:p>
      <w:pPr>
        <w:spacing w:before="0" w:after="240" w:line="288" w:lineRule="auto"/>
        <w:ind w:left="144"/>
        <w:shd w:val="clear" w:color="auto" w:fill="E6F4E4"/>
        <w:pBdr>
          <w:left w:val="single" w:sz="18" w:space="4" w:color="138808"/>
          <w:bottom w:val="single" w:sz="4" w:space="4" w:color="E6F4E4"/>
        </w:pBdr>
      </w:pPr>
      <w:r>
        <w:rPr>
          <w:sz w:val="20"/>
        </w:rPr>
        <w:t>A catalog entity is described by a catalog-info.yaml that lives in the repository it describes. The portal reads it; it never becomes the source of truth. That is why the catalog does not drift: updating it is part of the same pull request as the change it describes.</w:t>
      </w:r>
    </w:p>
    <w:p>
      <w:r>
        <w:br w:type="page"/>
      </w:r>
    </w:p>
    <w:p>
      <w:pPr>
        <w:pStyle w:val="Heading1"/>
      </w:pPr>
      <w:r>
        <w:t>3.  The TEAMOMF Developer Portal at a glance</w:t>
      </w:r>
    </w:p>
    <w:p>
      <w:pPr/>
      <w:r>
        <w:t>A Backstage 1.54.0 monorepo with a React frontend, a Node backend, three golden-path software templates, one internal backend plugin of our own, and one reference service that the templates were derived from.</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000080"/>
          </w:tcPr>
          <w:p>
            <w:pPr>
              <w:spacing w:before="80" w:after="80"/>
            </w:pPr>
            <w:r/>
            <w:r>
              <w:rPr>
                <w:b/>
                <w:color w:val="FFFFFF"/>
                <w:sz w:val="19"/>
              </w:rPr>
              <w:t>What</w:t>
            </w:r>
          </w:p>
        </w:tc>
        <w:tc>
          <w:tcPr>
            <w:tcW w:type="dxa" w:w="6624"/>
            <w:shd w:val="clear" w:color="auto" w:fill="000080"/>
          </w:tcPr>
          <w:p>
            <w:pPr>
              <w:spacing w:before="80" w:after="80"/>
            </w:pPr>
            <w:r/>
            <w:r>
              <w:rPr>
                <w:b/>
                <w:color w:val="FFFFFF"/>
                <w:sz w:val="19"/>
              </w:rPr>
              <w:t>Where we are today</w:t>
            </w:r>
          </w:p>
        </w:tc>
      </w:tr>
      <w:tr>
        <w:tc>
          <w:tcPr>
            <w:tcW w:type="dxa" w:w="2736"/>
          </w:tcPr>
          <w:p>
            <w:pPr>
              <w:spacing w:before="60" w:after="60" w:line="269" w:lineRule="auto"/>
            </w:pPr>
            <w:r/>
            <w:r>
              <w:rPr>
                <w:b/>
                <w:sz w:val="19"/>
              </w:rPr>
              <w:t>Backstage version</w:t>
            </w:r>
          </w:p>
        </w:tc>
        <w:tc>
          <w:tcPr>
            <w:tcW w:type="dxa" w:w="6624"/>
          </w:tcPr>
          <w:p>
            <w:pPr>
              <w:spacing w:before="60" w:after="60" w:line="269" w:lineRule="auto"/>
            </w:pPr>
            <w:r/>
            <w:r>
              <w:rPr>
                <w:sz w:val="19"/>
              </w:rPr>
              <w:t>1.54.0 (current release line, new frontend and backend systems)</w:t>
            </w:r>
          </w:p>
        </w:tc>
      </w:tr>
      <w:tr>
        <w:tc>
          <w:tcPr>
            <w:tcW w:type="dxa" w:w="2736"/>
            <w:shd w:val="clear" w:color="auto" w:fill="F5F7FB"/>
          </w:tcPr>
          <w:p>
            <w:pPr>
              <w:spacing w:before="60" w:after="60" w:line="269" w:lineRule="auto"/>
            </w:pPr>
            <w:r/>
            <w:r>
              <w:rPr>
                <w:b/>
                <w:sz w:val="19"/>
              </w:rPr>
              <w:t>Sign-in</w:t>
            </w:r>
          </w:p>
        </w:tc>
        <w:tc>
          <w:tcPr>
            <w:tcW w:type="dxa" w:w="6624"/>
            <w:shd w:val="clear" w:color="auto" w:fill="F5F7FB"/>
          </w:tcPr>
          <w:p>
            <w:pPr>
              <w:spacing w:before="60" w:after="60" w:line="269" w:lineRule="auto"/>
            </w:pPr>
            <w:r/>
            <w:r>
              <w:rPr>
                <w:sz w:val="19"/>
              </w:rPr>
              <w:t>TEAMOMF username and password, backed by a local credential store</w:t>
            </w:r>
          </w:p>
        </w:tc>
      </w:tr>
      <w:tr>
        <w:tc>
          <w:tcPr>
            <w:tcW w:type="dxa" w:w="2736"/>
          </w:tcPr>
          <w:p>
            <w:pPr>
              <w:spacing w:before="60" w:after="60" w:line="269" w:lineRule="auto"/>
            </w:pPr>
            <w:r/>
            <w:r>
              <w:rPr>
                <w:b/>
                <w:sz w:val="19"/>
              </w:rPr>
              <w:t>Authorization</w:t>
            </w:r>
          </w:p>
        </w:tc>
        <w:tc>
          <w:tcPr>
            <w:tcW w:type="dxa" w:w="6624"/>
          </w:tcPr>
          <w:p>
            <w:pPr>
              <w:spacing w:before="60" w:after="60" w:line="269" w:lineRule="auto"/>
            </w:pPr>
            <w:r/>
            <w:r>
              <w:rPr>
                <w:sz w:val="19"/>
              </w:rPr>
              <w:t>Five personas driven by real catalog Group membership</w:t>
            </w:r>
          </w:p>
        </w:tc>
      </w:tr>
      <w:tr>
        <w:tc>
          <w:tcPr>
            <w:tcW w:type="dxa" w:w="2736"/>
            <w:shd w:val="clear" w:color="auto" w:fill="F5F7FB"/>
          </w:tcPr>
          <w:p>
            <w:pPr>
              <w:spacing w:before="60" w:after="60" w:line="269" w:lineRule="auto"/>
            </w:pPr>
            <w:r/>
            <w:r>
              <w:rPr>
                <w:b/>
                <w:sz w:val="19"/>
              </w:rPr>
              <w:t>Catalog</w:t>
            </w:r>
          </w:p>
        </w:tc>
        <w:tc>
          <w:tcPr>
            <w:tcW w:type="dxa" w:w="6624"/>
            <w:shd w:val="clear" w:color="auto" w:fill="F5F7FB"/>
          </w:tcPr>
          <w:p>
            <w:pPr>
              <w:spacing w:before="60" w:after="60" w:line="269" w:lineRule="auto"/>
            </w:pPr>
            <w:r/>
            <w:r>
              <w:rPr>
                <w:sz w:val="19"/>
              </w:rPr>
              <w:t>The TEAMOMF Platform system, the Orders Service, its REST API, 7 Groups, real people</w:t>
            </w:r>
          </w:p>
        </w:tc>
      </w:tr>
      <w:tr>
        <w:tc>
          <w:tcPr>
            <w:tcW w:type="dxa" w:w="2736"/>
          </w:tcPr>
          <w:p>
            <w:pPr>
              <w:spacing w:before="60" w:after="60" w:line="269" w:lineRule="auto"/>
            </w:pPr>
            <w:r/>
            <w:r>
              <w:rPr>
                <w:b/>
                <w:sz w:val="19"/>
              </w:rPr>
              <w:t>Templates</w:t>
            </w:r>
          </w:p>
        </w:tc>
        <w:tc>
          <w:tcPr>
            <w:tcW w:type="dxa" w:w="6624"/>
          </w:tcPr>
          <w:p>
            <w:pPr>
              <w:spacing w:before="60" w:after="60" w:line="269" w:lineRule="auto"/>
            </w:pPr>
            <w:r/>
            <w:r>
              <w:rPr>
                <w:sz w:val="19"/>
              </w:rPr>
              <w:t>3 golden paths, each creating a real GitHub repository</w:t>
            </w:r>
          </w:p>
        </w:tc>
      </w:tr>
      <w:tr>
        <w:tc>
          <w:tcPr>
            <w:tcW w:type="dxa" w:w="2736"/>
            <w:shd w:val="clear" w:color="auto" w:fill="F5F7FB"/>
          </w:tcPr>
          <w:p>
            <w:pPr>
              <w:spacing w:before="60" w:after="60" w:line="269" w:lineRule="auto"/>
            </w:pPr>
            <w:r/>
            <w:r>
              <w:rPr>
                <w:b/>
                <w:sz w:val="19"/>
              </w:rPr>
              <w:t>Docs</w:t>
            </w:r>
          </w:p>
        </w:tc>
        <w:tc>
          <w:tcPr>
            <w:tcW w:type="dxa" w:w="6624"/>
            <w:shd w:val="clear" w:color="auto" w:fill="F5F7FB"/>
          </w:tcPr>
          <w:p>
            <w:pPr>
              <w:spacing w:before="60" w:after="60" w:line="269" w:lineRule="auto"/>
            </w:pPr>
            <w:r/>
            <w:r>
              <w:rPr>
                <w:sz w:val="19"/>
              </w:rPr>
              <w:t>TechDocs generated locally from MkDocs, served in the portal</w:t>
            </w:r>
          </w:p>
        </w:tc>
      </w:tr>
      <w:tr>
        <w:tc>
          <w:tcPr>
            <w:tcW w:type="dxa" w:w="2736"/>
          </w:tcPr>
          <w:p>
            <w:pPr>
              <w:spacing w:before="60" w:after="60" w:line="269" w:lineRule="auto"/>
            </w:pPr>
            <w:r/>
            <w:r>
              <w:rPr>
                <w:b/>
                <w:sz w:val="19"/>
              </w:rPr>
              <w:t>Search</w:t>
            </w:r>
          </w:p>
        </w:tc>
        <w:tc>
          <w:tcPr>
            <w:tcW w:type="dxa" w:w="6624"/>
          </w:tcPr>
          <w:p>
            <w:pPr>
              <w:spacing w:before="60" w:after="60" w:line="269" w:lineRule="auto"/>
            </w:pPr>
            <w:r/>
            <w:r>
              <w:rPr>
                <w:sz w:val="19"/>
              </w:rPr>
              <w:t>Catalog and TechDocs indexed into one search box</w:t>
            </w:r>
          </w:p>
        </w:tc>
      </w:tr>
      <w:tr>
        <w:tc>
          <w:tcPr>
            <w:tcW w:type="dxa" w:w="2736"/>
            <w:shd w:val="clear" w:color="auto" w:fill="F5F7FB"/>
          </w:tcPr>
          <w:p>
            <w:pPr>
              <w:spacing w:before="60" w:after="60" w:line="269" w:lineRule="auto"/>
            </w:pPr>
            <w:r/>
            <w:r>
              <w:rPr>
                <w:b/>
                <w:sz w:val="19"/>
              </w:rPr>
              <w:t>Database</w:t>
            </w:r>
          </w:p>
        </w:tc>
        <w:tc>
          <w:tcPr>
            <w:tcW w:type="dxa" w:w="6624"/>
            <w:shd w:val="clear" w:color="auto" w:fill="F5F7FB"/>
          </w:tcPr>
          <w:p>
            <w:pPr>
              <w:spacing w:before="60" w:after="60" w:line="269" w:lineRule="auto"/>
            </w:pPr>
            <w:r/>
            <w:r>
              <w:rPr>
                <w:sz w:val="19"/>
              </w:rPr>
              <w:t>File-backed SQLite for local development; PostgreSQL configured for production</w:t>
            </w:r>
          </w:p>
        </w:tc>
      </w:tr>
      <w:tr>
        <w:tc>
          <w:tcPr>
            <w:tcW w:type="dxa" w:w="2736"/>
          </w:tcPr>
          <w:p>
            <w:pPr>
              <w:spacing w:before="60" w:after="60" w:line="269" w:lineRule="auto"/>
            </w:pPr>
            <w:r/>
            <w:r>
              <w:rPr>
                <w:b/>
                <w:sz w:val="19"/>
              </w:rPr>
              <w:t>Theme</w:t>
            </w:r>
          </w:p>
        </w:tc>
        <w:tc>
          <w:tcPr>
            <w:tcW w:type="dxa" w:w="6624"/>
          </w:tcPr>
          <w:p>
            <w:pPr>
              <w:spacing w:before="60" w:after="60" w:line="269" w:lineRule="auto"/>
            </w:pPr>
            <w:r/>
            <w:r>
              <w:rPr>
                <w:sz w:val="19"/>
              </w:rPr>
              <w:t>A custom TEAMOMF theme replacing the stock Backstage look</w:t>
            </w:r>
          </w:p>
        </w:tc>
      </w:tr>
      <w:tr>
        <w:tc>
          <w:tcPr>
            <w:tcW w:type="dxa" w:w="2736"/>
            <w:shd w:val="clear" w:color="auto" w:fill="F5F7FB"/>
          </w:tcPr>
          <w:p>
            <w:pPr>
              <w:spacing w:before="60" w:after="60" w:line="269" w:lineRule="auto"/>
            </w:pPr>
            <w:r/>
            <w:r>
              <w:rPr>
                <w:b/>
                <w:sz w:val="19"/>
              </w:rPr>
              <w:t>Tests</w:t>
            </w:r>
          </w:p>
        </w:tc>
        <w:tc>
          <w:tcPr>
            <w:tcW w:type="dxa" w:w="6624"/>
            <w:shd w:val="clear" w:color="auto" w:fill="F5F7FB"/>
          </w:tcPr>
          <w:p>
            <w:pPr>
              <w:spacing w:before="60" w:after="60" w:line="269" w:lineRule="auto"/>
            </w:pPr>
            <w:r/>
            <w:r>
              <w:rPr>
                <w:sz w:val="19"/>
              </w:rPr>
              <w:t>6 unit suites in our plugin, a frontend app test, a Playwright e2e test</w:t>
            </w:r>
          </w:p>
        </w:tc>
      </w:tr>
    </w:tbl>
    <w:p>
      <w:pPr>
        <w:spacing w:before="200" w:after="40"/>
        <w:ind w:left="144"/>
        <w:shd w:val="clear" w:color="auto" w:fill="FFF4E5"/>
        <w:pBdr>
          <w:left w:val="single" w:sz="18" w:space="4" w:color="9A4F00"/>
          <w:top w:val="single" w:sz="4" w:space="4" w:color="FFF4E5"/>
        </w:pBdr>
      </w:pPr>
      <w:r>
        <w:rPr>
          <w:b/>
          <w:color w:val="9A4F00"/>
          <w:sz w:val="17"/>
        </w:rPr>
        <w:t>A DELIBERATE CHOICE: NO FAKE DATA</w:t>
      </w:r>
    </w:p>
    <w:p>
      <w:pPr>
        <w:spacing w:before="0" w:after="240" w:line="288" w:lineRule="auto"/>
        <w:ind w:left="144"/>
        <w:shd w:val="clear" w:color="auto" w:fill="FFF4E5"/>
        <w:pBdr>
          <w:left w:val="single" w:sz="18" w:space="4" w:color="9A4F00"/>
          <w:bottom w:val="single" w:sz="4" w:space="4" w:color="FFF4E5"/>
        </w:pBdr>
      </w:pPr>
      <w:r>
        <w:rPr>
          <w:sz w:val="20"/>
        </w:rPr>
        <w:t>The Backstage sample entities - example-website, the guest user, the demo template - are explicitly not registered. Every entity, person and template in this portal is real. It means the catalog looks sparse today, and that is the honest picture: a portal full of placeholder services is worse than a small true one, because nobody trusts it twice.</w:t>
      </w:r>
    </w:p>
    <w:p>
      <w:pPr>
        <w:pStyle w:val="Heading1"/>
      </w:pPr>
      <w:r>
        <w:t>4.  Architecture</w:t>
      </w:r>
    </w:p>
    <w:p>
      <w:pPr/>
      <w:r>
        <w:t>Three moving parts and one seam worth understanding.</w:t>
      </w:r>
    </w:p>
    <w:p>
      <w:pPr>
        <w:pStyle w:val="Heading2"/>
      </w:pPr>
      <w:r>
        <w:t>4.1  Frontend - packages/app</w:t>
      </w:r>
    </w:p>
    <w:p>
      <w:pPr>
        <w:pStyle w:val="ListBullet"/>
      </w:pPr>
      <w:r>
        <w:rPr>
          <w:b/>
        </w:rPr>
        <w:t xml:space="preserve">Sign-in page - </w:t>
      </w:r>
      <w:r>
        <w:t>a custom credential form, not the Backstage default.</w:t>
      </w:r>
    </w:p>
    <w:p>
      <w:pPr>
        <w:pStyle w:val="ListBullet"/>
      </w:pPr>
      <w:r>
        <w:rPr>
          <w:b/>
        </w:rPr>
        <w:t xml:space="preserve">Home page - </w:t>
      </w:r>
      <w:r>
        <w:t>eleven widgets, all rendering live data from the catalog or from the signed-in identity.</w:t>
      </w:r>
    </w:p>
    <w:p>
      <w:pPr>
        <w:pStyle w:val="ListBullet"/>
      </w:pPr>
      <w:r>
        <w:rPr>
          <w:b/>
        </w:rPr>
        <w:t xml:space="preserve">Sidebar and theme - </w:t>
      </w:r>
      <w:r>
        <w:t>TEAMOMF navigation and a full custom theme.</w:t>
      </w:r>
    </w:p>
    <w:p>
      <w:pPr>
        <w:pStyle w:val="ListBullet"/>
      </w:pPr>
      <w:r>
        <w:rPr>
          <w:b/>
        </w:rPr>
        <w:t xml:space="preserve">Stock plugin UIs - </w:t>
      </w:r>
      <w:r>
        <w:t>catalog, scaffolder, TechDocs, search, API docs, org chart, catalog graph, Kubernetes, notifications, settings.</w:t>
      </w:r>
    </w:p>
    <w:p>
      <w:pPr>
        <w:pStyle w:val="Heading2"/>
      </w:pPr>
      <w:r>
        <w:t>4.2  Backend - packages/backend</w:t>
      </w:r>
    </w:p>
    <w:p>
      <w:pPr/>
      <w:r>
        <w:t>One file composes the whole backend. Each line adds a feature; Backstage wires the dependencies. The current set:</w:t>
      </w:r>
    </w:p>
    <w:p>
      <w:pPr>
        <w:pStyle w:val="ListBullet"/>
      </w:pPr>
      <w:r>
        <w:t>app-backend, proxy-backend, scaffolder-backend (+ github, notifications), techdocs-backend, auth-backend (+ guest, github), catalog-backend (+ scaffolder-entity-model, logs), permission-backend, search-backend (+ catalog &amp; techdocs collators), kubernetes-backend, user-settings-backend, notifications-backend, signals-backend, mcp-actions-backend, teamomf-credentials (ours), teamomf permission policy (ours).</w:t>
      </w:r>
    </w:p>
    <w:p>
      <w:pPr>
        <w:pStyle w:val="Heading2"/>
      </w:pPr>
      <w:r>
        <w:t>4.3  Our plugin - plugins/teamomf-credentials-backend</w:t>
      </w:r>
    </w:p>
    <w:p>
      <w:pPr/>
      <w:r>
        <w:t>One package, three features, deliberately kept separate so each does one job:</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000080"/>
          </w:tcPr>
          <w:p>
            <w:pPr>
              <w:spacing w:before="80" w:after="80"/>
            </w:pPr>
            <w:r/>
            <w:r>
              <w:rPr>
                <w:b/>
                <w:color w:val="FFFFFF"/>
                <w:sz w:val="19"/>
              </w:rPr>
              <w:t>Feature</w:t>
            </w:r>
          </w:p>
        </w:tc>
        <w:tc>
          <w:tcPr>
            <w:tcW w:type="dxa" w:w="6336"/>
            <w:shd w:val="clear" w:color="auto" w:fill="000080"/>
          </w:tcPr>
          <w:p>
            <w:pPr>
              <w:spacing w:before="80" w:after="80"/>
            </w:pPr>
            <w:r/>
            <w:r>
              <w:rPr>
                <w:b/>
                <w:color w:val="FFFFFF"/>
                <w:sz w:val="19"/>
              </w:rPr>
              <w:t>Responsibility</w:t>
            </w:r>
          </w:p>
        </w:tc>
      </w:tr>
      <w:tr>
        <w:tc>
          <w:tcPr>
            <w:tcW w:type="dxa" w:w="3024"/>
          </w:tcPr>
          <w:p>
            <w:pPr>
              <w:spacing w:before="60" w:after="60" w:line="269" w:lineRule="auto"/>
            </w:pPr>
            <w:r/>
            <w:r>
              <w:rPr>
                <w:rFonts w:ascii="Consolas" w:hAnsi="Consolas"/>
                <w:sz w:val="18"/>
                <w:rFonts w:ascii="Consolas" w:hAnsi="Consolas" w:cs="Consolas"/>
              </w:rPr>
              <w:t>teamomfCredentialsPlugin</w:t>
            </w:r>
          </w:p>
        </w:tc>
        <w:tc>
          <w:tcPr>
            <w:tcW w:type="dxa" w:w="6336"/>
          </w:tcPr>
          <w:p>
            <w:pPr>
              <w:spacing w:before="60" w:after="60" w:line="269" w:lineRule="auto"/>
            </w:pPr>
            <w:r/>
            <w:r>
              <w:rPr>
                <w:sz w:val="19"/>
              </w:rPr>
              <w:t>Owns the credential store and the /api/teamomf-credentials/login and /logout endpoints. It proves you know a password. It does not issue a Backstage identity.</w:t>
            </w:r>
          </w:p>
        </w:tc>
      </w:tr>
      <w:tr>
        <w:tc>
          <w:tcPr>
            <w:tcW w:type="dxa" w:w="3024"/>
            <w:shd w:val="clear" w:color="auto" w:fill="F5F7FB"/>
          </w:tcPr>
          <w:p>
            <w:pPr>
              <w:spacing w:before="60" w:after="60" w:line="269" w:lineRule="auto"/>
            </w:pPr>
            <w:r/>
            <w:r>
              <w:rPr>
                <w:rFonts w:ascii="Consolas" w:hAnsi="Consolas"/>
                <w:sz w:val="18"/>
                <w:rFonts w:ascii="Consolas" w:hAnsi="Consolas" w:cs="Consolas"/>
              </w:rPr>
              <w:t>authModuleTeamomfCredentialsProvider</w:t>
            </w:r>
          </w:p>
        </w:tc>
        <w:tc>
          <w:tcPr>
            <w:tcW w:type="dxa" w:w="6336"/>
            <w:shd w:val="clear" w:color="auto" w:fill="F5F7FB"/>
          </w:tcPr>
          <w:p>
            <w:pPr>
              <w:spacing w:before="60" w:after="60" w:line="269" w:lineRule="auto"/>
            </w:pPr>
            <w:r/>
            <w:r>
              <w:rPr>
                <w:sz w:val="19"/>
              </w:rPr>
              <w:t>Registers the "teamomf" auth provider. Exchanges a valid session cookie for a Backstage identity backed by a real catalog User entity.</w:t>
            </w:r>
          </w:p>
        </w:tc>
      </w:tr>
      <w:tr>
        <w:tc>
          <w:tcPr>
            <w:tcW w:type="dxa" w:w="3024"/>
          </w:tcPr>
          <w:p>
            <w:pPr>
              <w:spacing w:before="60" w:after="60" w:line="269" w:lineRule="auto"/>
            </w:pPr>
            <w:r/>
            <w:r>
              <w:rPr>
                <w:rFonts w:ascii="Consolas" w:hAnsi="Consolas"/>
                <w:sz w:val="18"/>
                <w:rFonts w:ascii="Consolas" w:hAnsi="Consolas" w:cs="Consolas"/>
              </w:rPr>
              <w:t>permissionModuleTeamomfPolicy</w:t>
            </w:r>
          </w:p>
        </w:tc>
        <w:tc>
          <w:tcPr>
            <w:tcW w:type="dxa" w:w="6336"/>
          </w:tcPr>
          <w:p>
            <w:pPr>
              <w:spacing w:before="60" w:after="60" w:line="269" w:lineRule="auto"/>
            </w:pPr>
            <w:r/>
            <w:r>
              <w:rPr>
                <w:sz w:val="19"/>
              </w:rPr>
              <w:t>Replaces Backstage's stock allow-all policy with the TEAMOMF persona policy.</w:t>
            </w:r>
          </w:p>
        </w:tc>
      </w:tr>
      <w:tr>
        <w:tc>
          <w:tcPr>
            <w:tcW w:type="dxa" w:w="3024"/>
            <w:shd w:val="clear" w:color="auto" w:fill="F5F7FB"/>
          </w:tcPr>
          <w:p>
            <w:pPr>
              <w:spacing w:before="60" w:after="60" w:line="269" w:lineRule="auto"/>
            </w:pPr>
            <w:r/>
            <w:r>
              <w:rPr>
                <w:rFonts w:ascii="Consolas" w:hAnsi="Consolas"/>
                <w:sz w:val="18"/>
                <w:rFonts w:ascii="Consolas" w:hAnsi="Consolas" w:cs="Consolas"/>
              </w:rPr>
              <w:t>The CLI</w:t>
            </w:r>
          </w:p>
        </w:tc>
        <w:tc>
          <w:tcPr>
            <w:tcW w:type="dxa" w:w="6336"/>
            <w:shd w:val="clear" w:color="auto" w:fill="F5F7FB"/>
          </w:tcPr>
          <w:p>
            <w:pPr>
              <w:spacing w:before="60" w:after="60" w:line="269" w:lineRule="auto"/>
            </w:pPr>
            <w:r/>
            <w:r>
              <w:rPr>
                <w:sz w:val="19"/>
              </w:rPr>
              <w:t>yarn teamomf:user - provisions people, sharing the exact hashing and storage code the backend uses.</w:t>
            </w:r>
          </w:p>
        </w:tc>
      </w:tr>
    </w:tbl>
    <w:p>
      <w:pPr>
        <w:spacing w:before="200" w:after="40"/>
        <w:ind w:left="144"/>
        <w:shd w:val="clear" w:color="auto" w:fill="E8ECF9"/>
        <w:pBdr>
          <w:left w:val="single" w:sz="18" w:space="4" w:color="000080"/>
          <w:top w:val="single" w:sz="4" w:space="4" w:color="E8ECF9"/>
        </w:pBdr>
      </w:pPr>
      <w:r>
        <w:rPr>
          <w:b/>
          <w:color w:val="000080"/>
          <w:sz w:val="17"/>
        </w:rPr>
        <w:t>WHY THE SPLIT MATTERS</w:t>
      </w:r>
    </w:p>
    <w:p>
      <w:pPr>
        <w:spacing w:before="0" w:after="240" w:line="288" w:lineRule="auto"/>
        <w:ind w:left="144"/>
        <w:shd w:val="clear" w:color="auto" w:fill="E8ECF9"/>
        <w:pBdr>
          <w:left w:val="single" w:sz="18" w:space="4" w:color="000080"/>
          <w:bottom w:val="single" w:sz="4" w:space="4" w:color="E8ECF9"/>
        </w:pBdr>
      </w:pPr>
      <w:r>
        <w:rPr>
          <w:sz w:val="20"/>
        </w:rPr>
        <w:t>Proving possession of a password and deciding who you are in the organisation are different problems. Keeping them apart is what makes swapping credential login for enterprise SSO later a change to one feature rather than a rewrite: the persona model and the permission policy do not know or care how you authenticated.</w:t>
      </w:r>
    </w:p>
    <w:p>
      <w:r>
        <w:br w:type="page"/>
      </w:r>
    </w:p>
    <w:p>
      <w:pPr>
        <w:pStyle w:val="Heading1"/>
      </w:pPr>
      <w:r>
        <w:t>5.  Repository map</w:t>
      </w:r>
    </w:p>
    <w:p>
      <w:pPr/>
      <w:r>
        <w:t>Where to look when you need to change something.</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shd w:val="clear" w:color="auto" w:fill="000080"/>
          </w:tcPr>
          <w:p>
            <w:pPr>
              <w:spacing w:before="80" w:after="80"/>
            </w:pPr>
            <w:r/>
            <w:r>
              <w:rPr>
                <w:b/>
                <w:color w:val="FFFFFF"/>
                <w:sz w:val="19"/>
              </w:rPr>
              <w:t>Path</w:t>
            </w:r>
          </w:p>
        </w:tc>
        <w:tc>
          <w:tcPr>
            <w:tcW w:type="dxa" w:w="6048"/>
            <w:shd w:val="clear" w:color="auto" w:fill="000080"/>
          </w:tcPr>
          <w:p>
            <w:pPr>
              <w:spacing w:before="80" w:after="80"/>
            </w:pPr>
            <w:r/>
            <w:r>
              <w:rPr>
                <w:b/>
                <w:color w:val="FFFFFF"/>
                <w:sz w:val="19"/>
              </w:rPr>
              <w:t>What lives there</w:t>
            </w:r>
          </w:p>
        </w:tc>
      </w:tr>
      <w:tr>
        <w:tc>
          <w:tcPr>
            <w:tcW w:type="dxa" w:w="3312"/>
          </w:tcPr>
          <w:p>
            <w:pPr>
              <w:spacing w:before="60" w:after="60" w:line="269" w:lineRule="auto"/>
            </w:pPr>
            <w:r/>
            <w:r>
              <w:rPr>
                <w:rFonts w:ascii="Consolas" w:hAnsi="Consolas"/>
                <w:sz w:val="18"/>
                <w:rFonts w:ascii="Consolas" w:hAnsi="Consolas" w:cs="Consolas"/>
              </w:rPr>
              <w:t>packages/app</w:t>
            </w:r>
          </w:p>
        </w:tc>
        <w:tc>
          <w:tcPr>
            <w:tcW w:type="dxa" w:w="6048"/>
          </w:tcPr>
          <w:p>
            <w:pPr>
              <w:spacing w:before="60" w:after="60" w:line="269" w:lineRule="auto"/>
            </w:pPr>
            <w:r/>
            <w:r>
              <w:rPr>
                <w:sz w:val="19"/>
              </w:rPr>
              <w:t>React frontend. TEAMOMF sign-in page, sidebar, theme and home widgets.</w:t>
            </w:r>
          </w:p>
        </w:tc>
      </w:tr>
      <w:tr>
        <w:tc>
          <w:tcPr>
            <w:tcW w:type="dxa" w:w="3312"/>
            <w:shd w:val="clear" w:color="auto" w:fill="F5F7FB"/>
          </w:tcPr>
          <w:p>
            <w:pPr>
              <w:spacing w:before="60" w:after="60" w:line="269" w:lineRule="auto"/>
            </w:pPr>
            <w:r/>
            <w:r>
              <w:rPr>
                <w:rFonts w:ascii="Consolas" w:hAnsi="Consolas"/>
                <w:sz w:val="18"/>
                <w:rFonts w:ascii="Consolas" w:hAnsi="Consolas" w:cs="Consolas"/>
              </w:rPr>
              <w:t>packages/backend</w:t>
            </w:r>
          </w:p>
        </w:tc>
        <w:tc>
          <w:tcPr>
            <w:tcW w:type="dxa" w:w="6048"/>
            <w:shd w:val="clear" w:color="auto" w:fill="F5F7FB"/>
          </w:tcPr>
          <w:p>
            <w:pPr>
              <w:spacing w:before="60" w:after="60" w:line="269" w:lineRule="auto"/>
            </w:pPr>
            <w:r/>
            <w:r>
              <w:rPr>
                <w:sz w:val="19"/>
              </w:rPr>
              <w:t>Backend assembly. One file that composes ~20 Backstage plugins plus ours.</w:t>
            </w:r>
          </w:p>
        </w:tc>
      </w:tr>
      <w:tr>
        <w:tc>
          <w:tcPr>
            <w:tcW w:type="dxa" w:w="3312"/>
          </w:tcPr>
          <w:p>
            <w:pPr>
              <w:spacing w:before="60" w:after="60" w:line="269" w:lineRule="auto"/>
            </w:pPr>
            <w:r/>
            <w:r>
              <w:rPr>
                <w:rFonts w:ascii="Consolas" w:hAnsi="Consolas"/>
                <w:sz w:val="18"/>
                <w:rFonts w:ascii="Consolas" w:hAnsi="Consolas" w:cs="Consolas"/>
              </w:rPr>
              <w:t>plugins/teamomf-credentials-backend</w:t>
            </w:r>
          </w:p>
        </w:tc>
        <w:tc>
          <w:tcPr>
            <w:tcW w:type="dxa" w:w="6048"/>
          </w:tcPr>
          <w:p>
            <w:pPr>
              <w:spacing w:before="60" w:after="60" w:line="269" w:lineRule="auto"/>
            </w:pPr>
            <w:r/>
            <w:r>
              <w:rPr>
                <w:sz w:val="19"/>
              </w:rPr>
              <w:t>Our plugin: credential store, login endpoint, auth provider, permission policy, provisioning CLI.</w:t>
            </w:r>
          </w:p>
        </w:tc>
      </w:tr>
      <w:tr>
        <w:tc>
          <w:tcPr>
            <w:tcW w:type="dxa" w:w="3312"/>
            <w:shd w:val="clear" w:color="auto" w:fill="F5F7FB"/>
          </w:tcPr>
          <w:p>
            <w:pPr>
              <w:spacing w:before="60" w:after="60" w:line="269" w:lineRule="auto"/>
            </w:pPr>
            <w:r/>
            <w:r>
              <w:rPr>
                <w:rFonts w:ascii="Consolas" w:hAnsi="Consolas"/>
                <w:sz w:val="18"/>
                <w:rFonts w:ascii="Consolas" w:hAnsi="Consolas" w:cs="Consolas"/>
              </w:rPr>
              <w:t>catalog/teamomf-org.yaml</w:t>
            </w:r>
          </w:p>
        </w:tc>
        <w:tc>
          <w:tcPr>
            <w:tcW w:type="dxa" w:w="6048"/>
            <w:shd w:val="clear" w:color="auto" w:fill="F5F7FB"/>
          </w:tcPr>
          <w:p>
            <w:pPr>
              <w:spacing w:before="60" w:after="60" w:line="269" w:lineRule="auto"/>
            </w:pPr>
            <w:r/>
            <w:r>
              <w:rPr>
                <w:sz w:val="19"/>
              </w:rPr>
              <w:t>The org chart: 7 Groups and the real people in them.</w:t>
            </w:r>
          </w:p>
        </w:tc>
      </w:tr>
      <w:tr>
        <w:tc>
          <w:tcPr>
            <w:tcW w:type="dxa" w:w="3312"/>
          </w:tcPr>
          <w:p>
            <w:pPr>
              <w:spacing w:before="60" w:after="60" w:line="269" w:lineRule="auto"/>
            </w:pPr>
            <w:r/>
            <w:r>
              <w:rPr>
                <w:rFonts w:ascii="Consolas" w:hAnsi="Consolas"/>
                <w:sz w:val="18"/>
                <w:rFonts w:ascii="Consolas" w:hAnsi="Consolas" w:cs="Consolas"/>
              </w:rPr>
              <w:t>catalog/teamomf-systems.yaml</w:t>
            </w:r>
          </w:p>
        </w:tc>
        <w:tc>
          <w:tcPr>
            <w:tcW w:type="dxa" w:w="6048"/>
          </w:tcPr>
          <w:p>
            <w:pPr>
              <w:spacing w:before="60" w:after="60" w:line="269" w:lineRule="auto"/>
            </w:pPr>
            <w:r/>
            <w:r>
              <w:rPr>
                <w:sz w:val="19"/>
              </w:rPr>
              <w:t>The TEAMOMF Platform system.</w:t>
            </w:r>
          </w:p>
        </w:tc>
      </w:tr>
      <w:tr>
        <w:tc>
          <w:tcPr>
            <w:tcW w:type="dxa" w:w="3312"/>
            <w:shd w:val="clear" w:color="auto" w:fill="F5F7FB"/>
          </w:tcPr>
          <w:p>
            <w:pPr>
              <w:spacing w:before="60" w:after="60" w:line="269" w:lineRule="auto"/>
            </w:pPr>
            <w:r/>
            <w:r>
              <w:rPr>
                <w:rFonts w:ascii="Consolas" w:hAnsi="Consolas"/>
                <w:sz w:val="18"/>
                <w:rFonts w:ascii="Consolas" w:hAnsi="Consolas" w:cs="Consolas"/>
              </w:rPr>
              <w:t>templates/</w:t>
            </w:r>
          </w:p>
        </w:tc>
        <w:tc>
          <w:tcPr>
            <w:tcW w:type="dxa" w:w="6048"/>
            <w:shd w:val="clear" w:color="auto" w:fill="F5F7FB"/>
          </w:tcPr>
          <w:p>
            <w:pPr>
              <w:spacing w:before="60" w:after="60" w:line="269" w:lineRule="auto"/>
            </w:pPr>
            <w:r/>
            <w:r>
              <w:rPr>
                <w:sz w:val="19"/>
              </w:rPr>
              <w:t>Three software templates, each with a full working skeleton.</w:t>
            </w:r>
          </w:p>
        </w:tc>
      </w:tr>
      <w:tr>
        <w:tc>
          <w:tcPr>
            <w:tcW w:type="dxa" w:w="3312"/>
          </w:tcPr>
          <w:p>
            <w:pPr>
              <w:spacing w:before="60" w:after="60" w:line="269" w:lineRule="auto"/>
            </w:pPr>
            <w:r/>
            <w:r>
              <w:rPr>
                <w:rFonts w:ascii="Consolas" w:hAnsi="Consolas"/>
                <w:sz w:val="18"/>
                <w:rFonts w:ascii="Consolas" w:hAnsi="Consolas" w:cs="Consolas"/>
              </w:rPr>
              <w:t>teamomf-orders-service/</w:t>
            </w:r>
          </w:p>
        </w:tc>
        <w:tc>
          <w:tcPr>
            <w:tcW w:type="dxa" w:w="6048"/>
          </w:tcPr>
          <w:p>
            <w:pPr>
              <w:spacing w:before="60" w:after="60" w:line="269" w:lineRule="auto"/>
            </w:pPr>
            <w:r/>
            <w:r>
              <w:rPr>
                <w:sz w:val="19"/>
              </w:rPr>
              <w:t>Reference service: the pattern the templates encode.</w:t>
            </w:r>
          </w:p>
        </w:tc>
      </w:tr>
      <w:tr>
        <w:tc>
          <w:tcPr>
            <w:tcW w:type="dxa" w:w="3312"/>
            <w:shd w:val="clear" w:color="auto" w:fill="F5F7FB"/>
          </w:tcPr>
          <w:p>
            <w:pPr>
              <w:spacing w:before="60" w:after="60" w:line="269" w:lineRule="auto"/>
            </w:pPr>
            <w:r/>
            <w:r>
              <w:rPr>
                <w:rFonts w:ascii="Consolas" w:hAnsi="Consolas"/>
                <w:sz w:val="18"/>
                <w:rFonts w:ascii="Consolas" w:hAnsi="Consolas" w:cs="Consolas"/>
              </w:rPr>
              <w:t>app-config.yaml</w:t>
            </w:r>
          </w:p>
        </w:tc>
        <w:tc>
          <w:tcPr>
            <w:tcW w:type="dxa" w:w="6048"/>
            <w:shd w:val="clear" w:color="auto" w:fill="F5F7FB"/>
          </w:tcPr>
          <w:p>
            <w:pPr>
              <w:spacing w:before="60" w:after="60" w:line="269" w:lineRule="auto"/>
            </w:pPr>
            <w:r/>
            <w:r>
              <w:rPr>
                <w:sz w:val="19"/>
              </w:rPr>
              <w:t>Portal configuration: home layout, catalog locations, personas.</w:t>
            </w:r>
          </w:p>
        </w:tc>
      </w:tr>
      <w:tr>
        <w:tc>
          <w:tcPr>
            <w:tcW w:type="dxa" w:w="3312"/>
          </w:tcPr>
          <w:p>
            <w:pPr>
              <w:spacing w:before="60" w:after="60" w:line="269" w:lineRule="auto"/>
            </w:pPr>
            <w:r/>
            <w:r>
              <w:rPr>
                <w:rFonts w:ascii="Consolas" w:hAnsi="Consolas"/>
                <w:sz w:val="18"/>
                <w:rFonts w:ascii="Consolas" w:hAnsi="Consolas" w:cs="Consolas"/>
              </w:rPr>
              <w:t>scripts/teamomf-user.js</w:t>
            </w:r>
          </w:p>
        </w:tc>
        <w:tc>
          <w:tcPr>
            <w:tcW w:type="dxa" w:w="6048"/>
          </w:tcPr>
          <w:p>
            <w:pPr>
              <w:spacing w:before="60" w:after="60" w:line="269" w:lineRule="auto"/>
            </w:pPr>
            <w:r/>
            <w:r>
              <w:rPr>
                <w:sz w:val="19"/>
              </w:rPr>
              <w:t>Launcher for `yarn teamomf:user`.</w:t>
            </w:r>
          </w:p>
        </w:tc>
      </w:tr>
    </w:tbl>
    <w:p>
      <w:pPr>
        <w:pStyle w:val="Heading1"/>
      </w:pPr>
      <w:r>
        <w:t>6.  Signing in: TEAMOMF credential login</w:t>
      </w:r>
    </w:p>
    <w:p>
      <w:pPr/>
      <w:r>
        <w:t>Backstage ships OAuth providers and a guest provider. Neither fits a portal that has to work before an identity provider exists, so TEAMOMF has its own credential login. Six steps:</w:t>
      </w:r>
    </w:p>
    <w:p>
      <w:pPr>
        <w:spacing w:after="100"/>
      </w:pPr>
      <w:r>
        <w:rPr>
          <w:b/>
        </w:rPr>
        <w:t xml:space="preserve">1. Submit. </w:t>
      </w:r>
      <w:r>
        <w:t>The sign-in page posts username and password to /api/teamomf-credentials/login.</w:t>
      </w:r>
    </w:p>
    <w:p>
      <w:pPr>
        <w:spacing w:after="100"/>
      </w:pPr>
      <w:r>
        <w:rPr>
          <w:b/>
        </w:rPr>
        <w:t xml:space="preserve">2. Verify. </w:t>
      </w:r>
      <w:r>
        <w:t>The password is checked against a scrypt hash with a per-user salt and a constant-time comparison.</w:t>
      </w:r>
    </w:p>
    <w:p>
      <w:pPr>
        <w:spacing w:after="100"/>
      </w:pPr>
      <w:r>
        <w:rPr>
          <w:b/>
        </w:rPr>
        <w:t xml:space="preserve">3. Session cookie. </w:t>
      </w:r>
      <w:r>
        <w:t>A short-lived HS256 JWT is returned as an HTTP-only cookie. Page JavaScript can never read it.</w:t>
      </w:r>
    </w:p>
    <w:p>
      <w:pPr>
        <w:spacing w:after="100"/>
      </w:pPr>
      <w:r>
        <w:rPr>
          <w:b/>
        </w:rPr>
        <w:t xml:space="preserve">4. Exchange. </w:t>
      </w:r>
      <w:r>
        <w:t>Backstage's ProxiedSignInPage calls the 'teamomf' auth provider, which validates the cookie.</w:t>
      </w:r>
    </w:p>
    <w:p>
      <w:pPr>
        <w:spacing w:after="100"/>
      </w:pPr>
      <w:r>
        <w:rPr>
          <w:b/>
        </w:rPr>
        <w:t xml:space="preserve">5. Resolve identity. </w:t>
      </w:r>
      <w:r>
        <w:t>signInWithCatalogUser looks the email up against a real User entity and attaches its Group memberships to the token.</w:t>
      </w:r>
    </w:p>
    <w:p>
      <w:pPr>
        <w:spacing w:after="100"/>
      </w:pPr>
      <w:r>
        <w:rPr>
          <w:b/>
        </w:rPr>
        <w:t xml:space="preserve">6. Authorize. </w:t>
      </w:r>
      <w:r>
        <w:t>TeamomfPermissionPolicy reads those memberships on every gated request. The browser never gets a say in what role it holds.</w:t>
      </w:r>
    </w:p>
    <w:p>
      <w:pPr>
        <w:spacing w:before="200" w:after="40"/>
        <w:ind w:left="144"/>
        <w:shd w:val="clear" w:color="auto" w:fill="E6F4E4"/>
        <w:pBdr>
          <w:left w:val="single" w:sz="18" w:space="4" w:color="138808"/>
          <w:top w:val="single" w:sz="4" w:space="4" w:color="E6F4E4"/>
        </w:pBdr>
      </w:pPr>
      <w:r>
        <w:rPr>
          <w:b/>
          <w:color w:val="138808"/>
          <w:sz w:val="17"/>
        </w:rPr>
        <w:t>THE IMPORTANT CONSEQUENCE</w:t>
      </w:r>
    </w:p>
    <w:p>
      <w:pPr>
        <w:spacing w:before="0" w:after="240" w:line="288" w:lineRule="auto"/>
        <w:ind w:left="144"/>
        <w:shd w:val="clear" w:color="auto" w:fill="E6F4E4"/>
        <w:pBdr>
          <w:left w:val="single" w:sz="18" w:space="4" w:color="138808"/>
          <w:bottom w:val="single" w:sz="4" w:space="4" w:color="E6F4E4"/>
        </w:pBdr>
      </w:pPr>
      <w:r>
        <w:rPr>
          <w:sz w:val="20"/>
        </w:rPr>
        <w:t>Sign-in fails if there is no matching User entity in the catalog. That is intentional: a person can only log in if they genuinely appear in the TEAMOMF org chart, which means the org chart cannot quietly fall behind reality.</w:t>
      </w:r>
    </w:p>
    <w:p>
      <w:pPr/>
      <w:r>
        <w:t>GitHub OAuth is also configured, but it is deliberately not a sign-in method - the sign-in page only offers credential login. It exists so the portal can obtain a short-lived GitHub token on your behalf when the CI/CD tab needs to read real workflow runs. The popup appears the first time you open that tab, never at sign-in.</w:t>
      </w:r>
    </w:p>
    <w:p>
      <w:pPr>
        <w:pStyle w:val="Heading1"/>
      </w:pPr>
      <w:r>
        <w:t>7.  Personas and capabilities</w:t>
      </w:r>
    </w:p>
    <w:p>
      <w:pPr/>
      <w:r>
        <w:t>TEAMOMF has no RBAC plugin and no role entity. A persona is a catalog Group. Membership comes from spec.memberOf on your User entity, and the permission policy reads it from your identity token on every gated request.</w:t>
      </w:r>
    </w:p>
    <w:p>
      <w:pPr>
        <w:pStyle w:val="Heading2"/>
      </w:pPr>
      <w:r>
        <w:t>7.1  The capability model</w:t>
      </w:r>
    </w:p>
    <w:p>
      <w:pPr/>
      <w:r>
        <w:t>A capability is a named bundle of real Backstage permissions. Personas are granted capabilities, never individual permissions, so the persona definitions in app-config.yaml stay readable and cannot drift out of sync with what the plugins actually publish.</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000080"/>
          </w:tcPr>
          <w:p>
            <w:pPr>
              <w:spacing w:before="80" w:after="80"/>
            </w:pPr>
            <w:r/>
            <w:r>
              <w:rPr>
                <w:b/>
                <w:color w:val="FFFFFF"/>
                <w:sz w:val="19"/>
              </w:rPr>
              <w:t>Capability</w:t>
            </w:r>
          </w:p>
        </w:tc>
        <w:tc>
          <w:tcPr>
            <w:tcW w:type="dxa" w:w="6336"/>
            <w:shd w:val="clear" w:color="auto" w:fill="000080"/>
          </w:tcPr>
          <w:p>
            <w:pPr>
              <w:spacing w:before="80" w:after="80"/>
            </w:pPr>
            <w:r/>
            <w:r>
              <w:rPr>
                <w:b/>
                <w:color w:val="FFFFFF"/>
                <w:sz w:val="19"/>
              </w:rPr>
              <w:t>What it lets you do</w:t>
            </w:r>
          </w:p>
        </w:tc>
      </w:tr>
      <w:tr>
        <w:tc>
          <w:tcPr>
            <w:tcW w:type="dxa" w:w="3024"/>
          </w:tcPr>
          <w:p>
            <w:pPr>
              <w:spacing w:before="60" w:after="60" w:line="269" w:lineRule="auto"/>
            </w:pPr>
            <w:r/>
            <w:r>
              <w:rPr>
                <w:rFonts w:ascii="Consolas" w:hAnsi="Consolas"/>
                <w:sz w:val="18"/>
                <w:rFonts w:ascii="Consolas" w:hAnsi="Consolas" w:cs="Consolas"/>
              </w:rPr>
              <w:t>template.read</w:t>
            </w:r>
          </w:p>
        </w:tc>
        <w:tc>
          <w:tcPr>
            <w:tcW w:type="dxa" w:w="6336"/>
          </w:tcPr>
          <w:p>
            <w:pPr>
              <w:spacing w:before="60" w:after="60" w:line="269" w:lineRule="auto"/>
            </w:pPr>
            <w:r/>
            <w:r>
              <w:rPr>
                <w:sz w:val="19"/>
              </w:rPr>
              <w:t>Open a software template and see its parameters and steps</w:t>
            </w:r>
          </w:p>
        </w:tc>
      </w:tr>
      <w:tr>
        <w:tc>
          <w:tcPr>
            <w:tcW w:type="dxa" w:w="3024"/>
            <w:shd w:val="clear" w:color="auto" w:fill="F5F7FB"/>
          </w:tcPr>
          <w:p>
            <w:pPr>
              <w:spacing w:before="60" w:after="60" w:line="269" w:lineRule="auto"/>
            </w:pPr>
            <w:r/>
            <w:r>
              <w:rPr>
                <w:rFonts w:ascii="Consolas" w:hAnsi="Consolas"/>
                <w:sz w:val="18"/>
                <w:rFonts w:ascii="Consolas" w:hAnsi="Consolas" w:cs="Consolas"/>
              </w:rPr>
              <w:t>scaffolder.execute</w:t>
            </w:r>
          </w:p>
        </w:tc>
        <w:tc>
          <w:tcPr>
            <w:tcW w:type="dxa" w:w="6336"/>
            <w:shd w:val="clear" w:color="auto" w:fill="F5F7FB"/>
          </w:tcPr>
          <w:p>
            <w:pPr>
              <w:spacing w:before="60" w:after="60" w:line="269" w:lineRule="auto"/>
            </w:pPr>
            <w:r/>
            <w:r>
              <w:rPr>
                <w:sz w:val="19"/>
              </w:rPr>
              <w:t>Create a service from a template</w:t>
            </w:r>
          </w:p>
        </w:tc>
      </w:tr>
      <w:tr>
        <w:tc>
          <w:tcPr>
            <w:tcW w:type="dxa" w:w="3024"/>
          </w:tcPr>
          <w:p>
            <w:pPr>
              <w:spacing w:before="60" w:after="60" w:line="269" w:lineRule="auto"/>
            </w:pPr>
            <w:r/>
            <w:r>
              <w:rPr>
                <w:rFonts w:ascii="Consolas" w:hAnsi="Consolas"/>
                <w:sz w:val="18"/>
                <w:rFonts w:ascii="Consolas" w:hAnsi="Consolas" w:cs="Consolas"/>
              </w:rPr>
              <w:t>scaffolder.cancel</w:t>
            </w:r>
          </w:p>
        </w:tc>
        <w:tc>
          <w:tcPr>
            <w:tcW w:type="dxa" w:w="6336"/>
          </w:tcPr>
          <w:p>
            <w:pPr>
              <w:spacing w:before="60" w:after="60" w:line="269" w:lineRule="auto"/>
            </w:pPr>
            <w:r/>
            <w:r>
              <w:rPr>
                <w:sz w:val="19"/>
              </w:rPr>
              <w:t>Cancel a running scaffolder task</w:t>
            </w:r>
          </w:p>
        </w:tc>
      </w:tr>
      <w:tr>
        <w:tc>
          <w:tcPr>
            <w:tcW w:type="dxa" w:w="3024"/>
            <w:shd w:val="clear" w:color="auto" w:fill="F5F7FB"/>
          </w:tcPr>
          <w:p>
            <w:pPr>
              <w:spacing w:before="60" w:after="60" w:line="269" w:lineRule="auto"/>
            </w:pPr>
            <w:r/>
            <w:r>
              <w:rPr>
                <w:rFonts w:ascii="Consolas" w:hAnsi="Consolas"/>
                <w:sz w:val="18"/>
                <w:rFonts w:ascii="Consolas" w:hAnsi="Consolas" w:cs="Consolas"/>
              </w:rPr>
              <w:t>template.manage</w:t>
            </w:r>
          </w:p>
        </w:tc>
        <w:tc>
          <w:tcPr>
            <w:tcW w:type="dxa" w:w="6336"/>
            <w:shd w:val="clear" w:color="auto" w:fill="F5F7FB"/>
          </w:tcPr>
          <w:p>
            <w:pPr>
              <w:spacing w:before="60" w:after="60" w:line="269" w:lineRule="auto"/>
            </w:pPr>
            <w:r/>
            <w:r>
              <w:rPr>
                <w:sz w:val="19"/>
              </w:rPr>
              <w:t>Administer software templates</w:t>
            </w:r>
          </w:p>
        </w:tc>
      </w:tr>
      <w:tr>
        <w:tc>
          <w:tcPr>
            <w:tcW w:type="dxa" w:w="3024"/>
          </w:tcPr>
          <w:p>
            <w:pPr>
              <w:spacing w:before="60" w:after="60" w:line="269" w:lineRule="auto"/>
            </w:pPr>
            <w:r/>
            <w:r>
              <w:rPr>
                <w:rFonts w:ascii="Consolas" w:hAnsi="Consolas"/>
                <w:sz w:val="18"/>
                <w:rFonts w:ascii="Consolas" w:hAnsi="Consolas" w:cs="Consolas"/>
              </w:rPr>
              <w:t>catalog.entity.refresh</w:t>
            </w:r>
          </w:p>
        </w:tc>
        <w:tc>
          <w:tcPr>
            <w:tcW w:type="dxa" w:w="6336"/>
          </w:tcPr>
          <w:p>
            <w:pPr>
              <w:spacing w:before="60" w:after="60" w:line="269" w:lineRule="auto"/>
            </w:pPr>
            <w:r/>
            <w:r>
              <w:rPr>
                <w:sz w:val="19"/>
              </w:rPr>
              <w:t>Force an entity to refresh from source</w:t>
            </w:r>
          </w:p>
        </w:tc>
      </w:tr>
      <w:tr>
        <w:tc>
          <w:tcPr>
            <w:tcW w:type="dxa" w:w="3024"/>
            <w:shd w:val="clear" w:color="auto" w:fill="F5F7FB"/>
          </w:tcPr>
          <w:p>
            <w:pPr>
              <w:spacing w:before="60" w:after="60" w:line="269" w:lineRule="auto"/>
            </w:pPr>
            <w:r/>
            <w:r>
              <w:rPr>
                <w:rFonts w:ascii="Consolas" w:hAnsi="Consolas"/>
                <w:sz w:val="18"/>
                <w:rFonts w:ascii="Consolas" w:hAnsi="Consolas" w:cs="Consolas"/>
              </w:rPr>
              <w:t>catalog.entity.write</w:t>
            </w:r>
          </w:p>
        </w:tc>
        <w:tc>
          <w:tcPr>
            <w:tcW w:type="dxa" w:w="6336"/>
            <w:shd w:val="clear" w:color="auto" w:fill="F5F7FB"/>
          </w:tcPr>
          <w:p>
            <w:pPr>
              <w:spacing w:before="60" w:after="60" w:line="269" w:lineRule="auto"/>
            </w:pPr>
            <w:r/>
            <w:r>
              <w:rPr>
                <w:sz w:val="19"/>
              </w:rPr>
              <w:t>Create or delete catalog entities</w:t>
            </w:r>
          </w:p>
        </w:tc>
      </w:tr>
      <w:tr>
        <w:tc>
          <w:tcPr>
            <w:tcW w:type="dxa" w:w="3024"/>
          </w:tcPr>
          <w:p>
            <w:pPr>
              <w:spacing w:before="60" w:after="60" w:line="269" w:lineRule="auto"/>
            </w:pPr>
            <w:r/>
            <w:r>
              <w:rPr>
                <w:rFonts w:ascii="Consolas" w:hAnsi="Consolas"/>
                <w:sz w:val="18"/>
                <w:rFonts w:ascii="Consolas" w:hAnsi="Consolas" w:cs="Consolas"/>
              </w:rPr>
              <w:t>catalog.location.manage</w:t>
            </w:r>
          </w:p>
        </w:tc>
        <w:tc>
          <w:tcPr>
            <w:tcW w:type="dxa" w:w="6336"/>
          </w:tcPr>
          <w:p>
            <w:pPr>
              <w:spacing w:before="60" w:after="60" w:line="269" w:lineRule="auto"/>
            </w:pPr>
            <w:r/>
            <w:r>
              <w:rPr>
                <w:sz w:val="19"/>
              </w:rPr>
              <w:t>Register or remove catalog locations</w:t>
            </w:r>
          </w:p>
        </w:tc>
      </w:tr>
    </w:tbl>
    <w:p>
      <w:pPr>
        <w:pStyle w:val="Heading2"/>
      </w:pPr>
      <w:r>
        <w:t>7.2  The five personas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shd w:val="clear" w:color="auto" w:fill="000080"/>
          </w:tcPr>
          <w:p>
            <w:pPr>
              <w:spacing w:before="80" w:after="80"/>
            </w:pPr>
            <w:r/>
            <w:r>
              <w:rPr>
                <w:b/>
                <w:color w:val="FFFFFF"/>
                <w:sz w:val="19"/>
              </w:rPr>
              <w:t>Persona</w:t>
            </w:r>
          </w:p>
        </w:tc>
        <w:tc>
          <w:tcPr>
            <w:tcW w:type="dxa" w:w="1944"/>
            <w:shd w:val="clear" w:color="auto" w:fill="000080"/>
          </w:tcPr>
          <w:p>
            <w:pPr>
              <w:spacing w:before="80" w:after="80"/>
            </w:pPr>
            <w:r/>
            <w:r>
              <w:rPr>
                <w:b/>
                <w:color w:val="FFFFFF"/>
                <w:sz w:val="19"/>
              </w:rPr>
              <w:t>Group</w:t>
            </w:r>
          </w:p>
        </w:tc>
        <w:tc>
          <w:tcPr>
            <w:tcW w:type="dxa" w:w="2160"/>
            <w:shd w:val="clear" w:color="auto" w:fill="000080"/>
          </w:tcPr>
          <w:p>
            <w:pPr>
              <w:spacing w:before="80" w:after="80"/>
            </w:pPr>
            <w:r/>
            <w:r>
              <w:rPr>
                <w:b/>
                <w:color w:val="FFFFFF"/>
                <w:sz w:val="19"/>
              </w:rPr>
              <w:t>Capabilities</w:t>
            </w:r>
          </w:p>
        </w:tc>
        <w:tc>
          <w:tcPr>
            <w:tcW w:type="dxa" w:w="3312"/>
            <w:shd w:val="clear" w:color="auto" w:fill="000080"/>
          </w:tcPr>
          <w:p>
            <w:pPr>
              <w:spacing w:before="80" w:after="80"/>
            </w:pPr>
            <w:r/>
            <w:r>
              <w:rPr>
                <w:b/>
                <w:color w:val="FFFFFF"/>
                <w:sz w:val="19"/>
              </w:rPr>
              <w:t>Intent</w:t>
            </w:r>
          </w:p>
        </w:tc>
      </w:tr>
      <w:tr>
        <w:tc>
          <w:tcPr>
            <w:tcW w:type="dxa" w:w="1944"/>
          </w:tcPr>
          <w:p>
            <w:pPr>
              <w:spacing w:before="60" w:after="60" w:line="269" w:lineRule="auto"/>
            </w:pPr>
            <w:r/>
            <w:r>
              <w:rPr>
                <w:b/>
                <w:sz w:val="19"/>
              </w:rPr>
              <w:t>Developer</w:t>
            </w:r>
          </w:p>
        </w:tc>
        <w:tc>
          <w:tcPr>
            <w:tcW w:type="dxa" w:w="1944"/>
          </w:tcPr>
          <w:p>
            <w:pPr>
              <w:spacing w:before="60" w:after="60" w:line="269" w:lineRule="auto"/>
            </w:pPr>
            <w:r/>
            <w:r>
              <w:rPr>
                <w:sz w:val="19"/>
              </w:rPr>
              <w:t>developers</w:t>
            </w:r>
          </w:p>
        </w:tc>
        <w:tc>
          <w:tcPr>
            <w:tcW w:type="dxa" w:w="2160"/>
          </w:tcPr>
          <w:p>
            <w:pPr>
              <w:spacing w:before="60" w:after="60" w:line="269" w:lineRule="auto"/>
            </w:pPr>
            <w:r/>
            <w:r>
              <w:rPr>
                <w:sz w:val="19"/>
              </w:rPr>
              <w:t>All 7 capabilities</w:t>
            </w:r>
          </w:p>
        </w:tc>
        <w:tc>
          <w:tcPr>
            <w:tcW w:type="dxa" w:w="3312"/>
          </w:tcPr>
          <w:p>
            <w:pPr>
              <w:spacing w:before="60" w:after="60" w:line="269" w:lineRule="auto"/>
            </w:pPr>
            <w:r/>
            <w:r>
              <w:rPr>
                <w:sz w:val="19"/>
              </w:rPr>
              <w:t>Builds and operates TEAMOMF services. Full self-service.</w:t>
            </w:r>
          </w:p>
        </w:tc>
      </w:tr>
      <w:tr>
        <w:tc>
          <w:tcPr>
            <w:tcW w:type="dxa" w:w="1944"/>
            <w:shd w:val="clear" w:color="auto" w:fill="F5F7FB"/>
          </w:tcPr>
          <w:p>
            <w:pPr>
              <w:spacing w:before="60" w:after="60" w:line="269" w:lineRule="auto"/>
            </w:pPr>
            <w:r/>
            <w:r>
              <w:rPr>
                <w:b/>
                <w:sz w:val="19"/>
              </w:rPr>
              <w:t>Tech Lead</w:t>
            </w:r>
          </w:p>
        </w:tc>
        <w:tc>
          <w:tcPr>
            <w:tcW w:type="dxa" w:w="1944"/>
            <w:shd w:val="clear" w:color="auto" w:fill="F5F7FB"/>
          </w:tcPr>
          <w:p>
            <w:pPr>
              <w:spacing w:before="60" w:after="60" w:line="269" w:lineRule="auto"/>
            </w:pPr>
            <w:r/>
            <w:r>
              <w:rPr>
                <w:sz w:val="19"/>
              </w:rPr>
              <w:t>tech-leads</w:t>
            </w:r>
          </w:p>
        </w:tc>
        <w:tc>
          <w:tcPr>
            <w:tcW w:type="dxa" w:w="2160"/>
            <w:shd w:val="clear" w:color="auto" w:fill="F5F7FB"/>
          </w:tcPr>
          <w:p>
            <w:pPr>
              <w:spacing w:before="60" w:after="60" w:line="269" w:lineRule="auto"/>
            </w:pPr>
            <w:r/>
            <w:r>
              <w:rPr>
                <w:sz w:val="19"/>
              </w:rPr>
              <w:t>All 7 capabilities</w:t>
            </w:r>
          </w:p>
        </w:tc>
        <w:tc>
          <w:tcPr>
            <w:tcW w:type="dxa" w:w="3312"/>
            <w:shd w:val="clear" w:color="auto" w:fill="F5F7FB"/>
          </w:tcPr>
          <w:p>
            <w:pPr>
              <w:spacing w:before="60" w:after="60" w:line="269" w:lineRule="auto"/>
            </w:pPr>
            <w:r/>
            <w:r>
              <w:rPr>
                <w:sz w:val="19"/>
              </w:rPr>
              <w:t>Leads a service or a team. Deliberately identical to Developer - Backstage publishes no permission meaning 'approve'.</w:t>
            </w:r>
          </w:p>
        </w:tc>
      </w:tr>
      <w:tr>
        <w:tc>
          <w:tcPr>
            <w:tcW w:type="dxa" w:w="1944"/>
          </w:tcPr>
          <w:p>
            <w:pPr>
              <w:spacing w:before="60" w:after="60" w:line="269" w:lineRule="auto"/>
            </w:pPr>
            <w:r/>
            <w:r>
              <w:rPr>
                <w:b/>
                <w:sz w:val="19"/>
              </w:rPr>
              <w:t>Engineering Manager</w:t>
            </w:r>
          </w:p>
        </w:tc>
        <w:tc>
          <w:tcPr>
            <w:tcW w:type="dxa" w:w="1944"/>
          </w:tcPr>
          <w:p>
            <w:pPr>
              <w:spacing w:before="60" w:after="60" w:line="269" w:lineRule="auto"/>
            </w:pPr>
            <w:r/>
            <w:r>
              <w:rPr>
                <w:sz w:val="19"/>
              </w:rPr>
              <w:t>engineering-managers</w:t>
            </w:r>
          </w:p>
        </w:tc>
        <w:tc>
          <w:tcPr>
            <w:tcW w:type="dxa" w:w="2160"/>
          </w:tcPr>
          <w:p>
            <w:pPr>
              <w:spacing w:before="60" w:after="60" w:line="269" w:lineRule="auto"/>
            </w:pPr>
            <w:r/>
            <w:r>
              <w:rPr>
                <w:sz w:val="19"/>
              </w:rPr>
              <w:t>template.read, catalog.entity.refresh</w:t>
            </w:r>
          </w:p>
        </w:tc>
        <w:tc>
          <w:tcPr>
            <w:tcW w:type="dxa" w:w="3312"/>
          </w:tcPr>
          <w:p>
            <w:pPr>
              <w:spacing w:before="60" w:after="60" w:line="269" w:lineRule="auto"/>
            </w:pPr>
            <w:r/>
            <w:r>
              <w:rPr>
                <w:sz w:val="19"/>
              </w:rPr>
              <w:t>Oversight, not self-service. Can browse templates and fix stale entities; cannot create repositories.</w:t>
            </w:r>
          </w:p>
        </w:tc>
      </w:tr>
      <w:tr>
        <w:tc>
          <w:tcPr>
            <w:tcW w:type="dxa" w:w="1944"/>
            <w:shd w:val="clear" w:color="auto" w:fill="F5F7FB"/>
          </w:tcPr>
          <w:p>
            <w:pPr>
              <w:spacing w:before="60" w:after="60" w:line="269" w:lineRule="auto"/>
            </w:pPr>
            <w:r/>
            <w:r>
              <w:rPr>
                <w:b/>
                <w:sz w:val="19"/>
              </w:rPr>
              <w:t>Platform / DevOps</w:t>
            </w:r>
          </w:p>
        </w:tc>
        <w:tc>
          <w:tcPr>
            <w:tcW w:type="dxa" w:w="1944"/>
            <w:shd w:val="clear" w:color="auto" w:fill="F5F7FB"/>
          </w:tcPr>
          <w:p>
            <w:pPr>
              <w:spacing w:before="60" w:after="60" w:line="269" w:lineRule="auto"/>
            </w:pPr>
            <w:r/>
            <w:r>
              <w:rPr>
                <w:sz w:val="19"/>
              </w:rPr>
              <w:t>platform</w:t>
            </w:r>
          </w:p>
        </w:tc>
        <w:tc>
          <w:tcPr>
            <w:tcW w:type="dxa" w:w="2160"/>
            <w:shd w:val="clear" w:color="auto" w:fill="F5F7FB"/>
          </w:tcPr>
          <w:p>
            <w:pPr>
              <w:spacing w:before="60" w:after="60" w:line="269" w:lineRule="auto"/>
            </w:pPr>
            <w:r/>
            <w:r>
              <w:rPr>
                <w:sz w:val="19"/>
              </w:rPr>
              <w:t>All 7 capabilities</w:t>
            </w:r>
          </w:p>
        </w:tc>
        <w:tc>
          <w:tcPr>
            <w:tcW w:type="dxa" w:w="3312"/>
            <w:shd w:val="clear" w:color="auto" w:fill="F5F7FB"/>
          </w:tcPr>
          <w:p>
            <w:pPr>
              <w:spacing w:before="60" w:after="60" w:line="269" w:lineRule="auto"/>
            </w:pPr>
            <w:r/>
            <w:r>
              <w:rPr>
                <w:sz w:val="19"/>
              </w:rPr>
              <w:t>Builds and runs the portal itself.</w:t>
            </w:r>
          </w:p>
        </w:tc>
      </w:tr>
      <w:tr>
        <w:tc>
          <w:tcPr>
            <w:tcW w:type="dxa" w:w="1944"/>
          </w:tcPr>
          <w:p>
            <w:pPr>
              <w:spacing w:before="60" w:after="60" w:line="269" w:lineRule="auto"/>
            </w:pPr>
            <w:r/>
            <w:r>
              <w:rPr>
                <w:b/>
                <w:sz w:val="19"/>
              </w:rPr>
              <w:t>Admin</w:t>
            </w:r>
          </w:p>
        </w:tc>
        <w:tc>
          <w:tcPr>
            <w:tcW w:type="dxa" w:w="1944"/>
          </w:tcPr>
          <w:p>
            <w:pPr>
              <w:spacing w:before="60" w:after="60" w:line="269" w:lineRule="auto"/>
            </w:pPr>
            <w:r/>
            <w:r>
              <w:rPr>
                <w:sz w:val="19"/>
              </w:rPr>
              <w:t>platform-admins</w:t>
            </w:r>
          </w:p>
        </w:tc>
        <w:tc>
          <w:tcPr>
            <w:tcW w:type="dxa" w:w="2160"/>
          </w:tcPr>
          <w:p>
            <w:pPr>
              <w:spacing w:before="60" w:after="60" w:line="269" w:lineRule="auto"/>
            </w:pPr>
            <w:r/>
            <w:r>
              <w:rPr>
                <w:sz w:val="19"/>
              </w:rPr>
              <w:t>All 7 capabilities</w:t>
            </w:r>
          </w:p>
        </w:tc>
        <w:tc>
          <w:tcPr>
            <w:tcW w:type="dxa" w:w="3312"/>
          </w:tcPr>
          <w:p>
            <w:pPr>
              <w:spacing w:before="60" w:after="60" w:line="269" w:lineRule="auto"/>
            </w:pPr>
            <w:r/>
            <w:r>
              <w:rPr>
                <w:sz w:val="19"/>
              </w:rPr>
              <w:t>Portal administrators. Membership stays small.</w:t>
            </w:r>
          </w:p>
        </w:tc>
      </w:tr>
      <w:tr>
        <w:tc>
          <w:tcPr>
            <w:tcW w:type="dxa" w:w="1944"/>
            <w:shd w:val="clear" w:color="auto" w:fill="F5F7FB"/>
          </w:tcPr>
          <w:p>
            <w:pPr>
              <w:spacing w:before="60" w:after="60" w:line="269" w:lineRule="auto"/>
            </w:pPr>
            <w:r/>
            <w:r>
              <w:rPr>
                <w:b/>
                <w:sz w:val="19"/>
              </w:rPr>
              <w:t>Finance / People &amp; HR</w:t>
            </w:r>
          </w:p>
        </w:tc>
        <w:tc>
          <w:tcPr>
            <w:tcW w:type="dxa" w:w="1944"/>
            <w:shd w:val="clear" w:color="auto" w:fill="F5F7FB"/>
          </w:tcPr>
          <w:p>
            <w:pPr>
              <w:spacing w:before="60" w:after="60" w:line="269" w:lineRule="auto"/>
            </w:pPr>
            <w:r/>
            <w:r>
              <w:rPr>
                <w:sz w:val="19"/>
              </w:rPr>
              <w:t>finance, hr</w:t>
            </w:r>
          </w:p>
        </w:tc>
        <w:tc>
          <w:tcPr>
            <w:tcW w:type="dxa" w:w="2160"/>
            <w:shd w:val="clear" w:color="auto" w:fill="F5F7FB"/>
          </w:tcPr>
          <w:p>
            <w:pPr>
              <w:spacing w:before="60" w:after="60" w:line="269" w:lineRule="auto"/>
            </w:pPr>
            <w:r/>
            <w:r>
              <w:rPr>
                <w:sz w:val="19"/>
              </w:rPr>
              <w:t>None (read-only)</w:t>
            </w:r>
          </w:p>
        </w:tc>
        <w:tc>
          <w:tcPr>
            <w:tcW w:type="dxa" w:w="3312"/>
            <w:shd w:val="clear" w:color="auto" w:fill="F5F7FB"/>
          </w:tcPr>
          <w:p>
            <w:pPr>
              <w:spacing w:before="60" w:after="60" w:line="269" w:lineRule="auto"/>
            </w:pPr>
            <w:r/>
            <w:r>
              <w:rPr>
                <w:sz w:val="19"/>
              </w:rPr>
              <w:t>Read the catalog, APIs, docs and org chart. No write, no scaffolding.</w:t>
            </w:r>
          </w:p>
        </w:tc>
      </w:tr>
    </w:tbl>
    <w:p>
      <w:pPr>
        <w:pStyle w:val="Heading2"/>
      </w:pPr>
      <w:r>
        <w:t>7.3  Two design decisions</w:t>
      </w:r>
    </w:p>
    <w:p>
      <w:pPr>
        <w:pStyle w:val="ListBullet"/>
      </w:pPr>
      <w:r>
        <w:rPr>
          <w:b/>
        </w:rPr>
        <w:t xml:space="preserve">Reading is open to everyone signed in - </w:t>
      </w:r>
      <w:r>
        <w:t>catalog, APIs, TechDocs, search and settings are ungated. A portal that hides the org chart from Finance is not useful, and none of that data is sensitive. It also means installing a new plugin can never silently lock everybody out.</w:t>
      </w:r>
    </w:p>
    <w:p>
      <w:pPr>
        <w:pStyle w:val="ListBullet"/>
      </w:pPr>
      <w:r>
        <w:rPr>
          <w:b/>
        </w:rPr>
        <w:t xml:space="preserve">Tech Lead equals Developer, on purpose - </w:t>
      </w:r>
      <w:r>
        <w:t>Backstage publishes no permission that expresses "approve" or "own a team". Inventing a distinction the permission system cannot enforce would be theatre, so we did not.</w:t>
      </w:r>
    </w:p>
    <w:p>
      <w:pPr/>
      <w:r>
        <w:t>Everything that creates, executes or destroys is gated. Denials are explicit and enumerated in capabilities.ts - there is no wildcard deny anywhere in the policy.</w:t>
      </w:r>
    </w:p>
    <w:p>
      <w:r>
        <w:br w:type="page"/>
      </w:r>
    </w:p>
    <w:p>
      <w:pPr>
        <w:pStyle w:val="Heading1"/>
      </w:pPr>
      <w:r>
        <w:t>8.  The org chart and the provisioning CLI</w:t>
      </w:r>
    </w:p>
    <w:p>
      <w:pPr/>
      <w:r>
        <w:t>catalog/teamomf-org.yaml holds seven Groups and the real people in them. It is managed by a CLI rather than edited by hand, so a credential and an org-chart entry are always created together - you cannot end up with a password that resolves to nobody, or a person in the chart who cannot log in.</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8"/>
          <w:rFonts w:ascii="Consolas" w:hAnsi="Consolas" w:cs="Consolas"/>
        </w:rPr>
        <w:t>yarn teamomf:user add               # add a person: credential + catalog entry</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teamomf:user list              # list provisioned users</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teamomf:user remove &lt;username&gt; # remove credential and catalog entry</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teamomf:user check             # report each person's persona and capabilities</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8"/>
          <w:rFonts w:ascii="Consolas" w:hAnsi="Consolas" w:cs="Consolas"/>
        </w:rPr>
        <w:t xml:space="preserve">    </w:t>
      </w:r>
    </w:p>
    <w:p>
      <w:pPr>
        <w:pStyle w:val="Caption"/>
      </w:pPr>
      <w:r>
        <w:t>The four CLI commands. `check` reads the persona model straight from app-config.yaml using the same reader the backend uses, so it reports against the configuration actually on disk.</w:t>
      </w:r>
    </w:p>
    <w:p>
      <w:pPr/>
      <w:r>
        <w:t>The CLI is TypeScript inside the plugin, bundled on the fly by esbuild. That is not incidental: it means the CLI hashes passwords with the exact same code path the backend verifies them with, so the two can never disagree about the hash format.</w:t>
      </w:r>
    </w:p>
    <w:p>
      <w:pPr>
        <w:pStyle w:val="Heading2"/>
      </w:pPr>
      <w:r>
        <w:t>8.1  The seven groups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000080"/>
          </w:tcPr>
          <w:p>
            <w:pPr>
              <w:spacing w:before="80" w:after="80"/>
            </w:pPr>
            <w:r/>
            <w:r>
              <w:rPr>
                <w:b/>
                <w:color w:val="FFFFFF"/>
                <w:sz w:val="19"/>
              </w:rPr>
              <w:t>Group</w:t>
            </w:r>
          </w:p>
        </w:tc>
        <w:tc>
          <w:tcPr>
            <w:tcW w:type="dxa" w:w="2304"/>
            <w:shd w:val="clear" w:color="auto" w:fill="000080"/>
          </w:tcPr>
          <w:p>
            <w:pPr>
              <w:spacing w:before="80" w:after="80"/>
            </w:pPr>
            <w:r/>
            <w:r>
              <w:rPr>
                <w:b/>
                <w:color w:val="FFFFFF"/>
                <w:sz w:val="19"/>
              </w:rPr>
              <w:t>Persona</w:t>
            </w:r>
          </w:p>
        </w:tc>
        <w:tc>
          <w:tcPr>
            <w:tcW w:type="dxa" w:w="4608"/>
            <w:shd w:val="clear" w:color="auto" w:fill="000080"/>
          </w:tcPr>
          <w:p>
            <w:pPr>
              <w:spacing w:before="80" w:after="80"/>
            </w:pPr>
            <w:r/>
            <w:r>
              <w:rPr>
                <w:b/>
                <w:color w:val="FFFFFF"/>
                <w:sz w:val="19"/>
              </w:rPr>
              <w:t>Purpose</w:t>
            </w:r>
          </w:p>
        </w:tc>
      </w:tr>
      <w:tr>
        <w:tc>
          <w:tcPr>
            <w:tcW w:type="dxa" w:w="2448"/>
          </w:tcPr>
          <w:p>
            <w:pPr>
              <w:spacing w:before="60" w:after="60" w:line="269" w:lineRule="auto"/>
            </w:pPr>
            <w:r/>
            <w:r>
              <w:rPr>
                <w:rFonts w:ascii="Consolas" w:hAnsi="Consolas"/>
                <w:sz w:val="18"/>
                <w:rFonts w:ascii="Consolas" w:hAnsi="Consolas" w:cs="Consolas"/>
              </w:rPr>
              <w:t>developers</w:t>
            </w:r>
          </w:p>
        </w:tc>
        <w:tc>
          <w:tcPr>
            <w:tcW w:type="dxa" w:w="2304"/>
          </w:tcPr>
          <w:p>
            <w:pPr>
              <w:spacing w:before="60" w:after="60" w:line="269" w:lineRule="auto"/>
            </w:pPr>
            <w:r/>
            <w:r>
              <w:rPr>
                <w:sz w:val="19"/>
              </w:rPr>
              <w:t>Developer</w:t>
            </w:r>
          </w:p>
        </w:tc>
        <w:tc>
          <w:tcPr>
            <w:tcW w:type="dxa" w:w="4608"/>
          </w:tcPr>
          <w:p>
            <w:pPr>
              <w:spacing w:before="60" w:after="60" w:line="269" w:lineRule="auto"/>
            </w:pPr>
            <w:r/>
            <w:r>
              <w:rPr>
                <w:sz w:val="19"/>
              </w:rPr>
              <w:t>Engineers who build and operate TEAMOMF services</w:t>
            </w:r>
          </w:p>
        </w:tc>
      </w:tr>
      <w:tr>
        <w:tc>
          <w:tcPr>
            <w:tcW w:type="dxa" w:w="2448"/>
            <w:shd w:val="clear" w:color="auto" w:fill="F5F7FB"/>
          </w:tcPr>
          <w:p>
            <w:pPr>
              <w:spacing w:before="60" w:after="60" w:line="269" w:lineRule="auto"/>
            </w:pPr>
            <w:r/>
            <w:r>
              <w:rPr>
                <w:rFonts w:ascii="Consolas" w:hAnsi="Consolas"/>
                <w:sz w:val="18"/>
                <w:rFonts w:ascii="Consolas" w:hAnsi="Consolas" w:cs="Consolas"/>
              </w:rPr>
              <w:t>tech-leads</w:t>
            </w:r>
          </w:p>
        </w:tc>
        <w:tc>
          <w:tcPr>
            <w:tcW w:type="dxa" w:w="2304"/>
            <w:shd w:val="clear" w:color="auto" w:fill="F5F7FB"/>
          </w:tcPr>
          <w:p>
            <w:pPr>
              <w:spacing w:before="60" w:after="60" w:line="269" w:lineRule="auto"/>
            </w:pPr>
            <w:r/>
            <w:r>
              <w:rPr>
                <w:sz w:val="19"/>
              </w:rPr>
              <w:t>Tech Lead</w:t>
            </w:r>
          </w:p>
        </w:tc>
        <w:tc>
          <w:tcPr>
            <w:tcW w:type="dxa" w:w="4608"/>
            <w:shd w:val="clear" w:color="auto" w:fill="F5F7FB"/>
          </w:tcPr>
          <w:p>
            <w:pPr>
              <w:spacing w:before="60" w:after="60" w:line="269" w:lineRule="auto"/>
            </w:pPr>
            <w:r/>
            <w:r>
              <w:rPr>
                <w:sz w:val="19"/>
              </w:rPr>
              <w:t>Senior engineers leading a service or a team</w:t>
            </w:r>
          </w:p>
        </w:tc>
      </w:tr>
      <w:tr>
        <w:tc>
          <w:tcPr>
            <w:tcW w:type="dxa" w:w="2448"/>
          </w:tcPr>
          <w:p>
            <w:pPr>
              <w:spacing w:before="60" w:after="60" w:line="269" w:lineRule="auto"/>
            </w:pPr>
            <w:r/>
            <w:r>
              <w:rPr>
                <w:rFonts w:ascii="Consolas" w:hAnsi="Consolas"/>
                <w:sz w:val="18"/>
                <w:rFonts w:ascii="Consolas" w:hAnsi="Consolas" w:cs="Consolas"/>
              </w:rPr>
              <w:t>engineering-managers</w:t>
            </w:r>
          </w:p>
        </w:tc>
        <w:tc>
          <w:tcPr>
            <w:tcW w:type="dxa" w:w="2304"/>
          </w:tcPr>
          <w:p>
            <w:pPr>
              <w:spacing w:before="60" w:after="60" w:line="269" w:lineRule="auto"/>
            </w:pPr>
            <w:r/>
            <w:r>
              <w:rPr>
                <w:sz w:val="19"/>
              </w:rPr>
              <w:t>Engineering Manager</w:t>
            </w:r>
          </w:p>
        </w:tc>
        <w:tc>
          <w:tcPr>
            <w:tcW w:type="dxa" w:w="4608"/>
          </w:tcPr>
          <w:p>
            <w:pPr>
              <w:spacing w:before="60" w:after="60" w:line="269" w:lineRule="auto"/>
            </w:pPr>
            <w:r/>
            <w:r>
              <w:rPr>
                <w:sz w:val="19"/>
              </w:rPr>
              <w:t>Accountable for delivery across teams</w:t>
            </w:r>
          </w:p>
        </w:tc>
      </w:tr>
      <w:tr>
        <w:tc>
          <w:tcPr>
            <w:tcW w:type="dxa" w:w="2448"/>
            <w:shd w:val="clear" w:color="auto" w:fill="F5F7FB"/>
          </w:tcPr>
          <w:p>
            <w:pPr>
              <w:spacing w:before="60" w:after="60" w:line="269" w:lineRule="auto"/>
            </w:pPr>
            <w:r/>
            <w:r>
              <w:rPr>
                <w:rFonts w:ascii="Consolas" w:hAnsi="Consolas"/>
                <w:sz w:val="18"/>
                <w:rFonts w:ascii="Consolas" w:hAnsi="Consolas" w:cs="Consolas"/>
              </w:rPr>
              <w:t>platform</w:t>
            </w:r>
          </w:p>
        </w:tc>
        <w:tc>
          <w:tcPr>
            <w:tcW w:type="dxa" w:w="2304"/>
            <w:shd w:val="clear" w:color="auto" w:fill="F5F7FB"/>
          </w:tcPr>
          <w:p>
            <w:pPr>
              <w:spacing w:before="60" w:after="60" w:line="269" w:lineRule="auto"/>
            </w:pPr>
            <w:r/>
            <w:r>
              <w:rPr>
                <w:sz w:val="19"/>
              </w:rPr>
              <w:t>Platform / DevOps</w:t>
            </w:r>
          </w:p>
        </w:tc>
        <w:tc>
          <w:tcPr>
            <w:tcW w:type="dxa" w:w="4608"/>
            <w:shd w:val="clear" w:color="auto" w:fill="F5F7FB"/>
          </w:tcPr>
          <w:p>
            <w:pPr>
              <w:spacing w:before="60" w:after="60" w:line="269" w:lineRule="auto"/>
            </w:pPr>
            <w:r/>
            <w:r>
              <w:rPr>
                <w:sz w:val="19"/>
              </w:rPr>
              <w:t>Builds and runs the developer platform itself</w:t>
            </w:r>
          </w:p>
        </w:tc>
      </w:tr>
      <w:tr>
        <w:tc>
          <w:tcPr>
            <w:tcW w:type="dxa" w:w="2448"/>
          </w:tcPr>
          <w:p>
            <w:pPr>
              <w:spacing w:before="60" w:after="60" w:line="269" w:lineRule="auto"/>
            </w:pPr>
            <w:r/>
            <w:r>
              <w:rPr>
                <w:rFonts w:ascii="Consolas" w:hAnsi="Consolas"/>
                <w:sz w:val="18"/>
                <w:rFonts w:ascii="Consolas" w:hAnsi="Consolas" w:cs="Consolas"/>
              </w:rPr>
              <w:t>platform-admins</w:t>
            </w:r>
          </w:p>
        </w:tc>
        <w:tc>
          <w:tcPr>
            <w:tcW w:type="dxa" w:w="2304"/>
          </w:tcPr>
          <w:p>
            <w:pPr>
              <w:spacing w:before="60" w:after="60" w:line="269" w:lineRule="auto"/>
            </w:pPr>
            <w:r/>
            <w:r>
              <w:rPr>
                <w:sz w:val="19"/>
              </w:rPr>
              <w:t>Admin</w:t>
            </w:r>
          </w:p>
        </w:tc>
        <w:tc>
          <w:tcPr>
            <w:tcW w:type="dxa" w:w="4608"/>
          </w:tcPr>
          <w:p>
            <w:pPr>
              <w:spacing w:before="60" w:after="60" w:line="269" w:lineRule="auto"/>
            </w:pPr>
            <w:r/>
            <w:r>
              <w:rPr>
                <w:sz w:val="19"/>
              </w:rPr>
              <w:t>Portal administrators; membership stays small</w:t>
            </w:r>
          </w:p>
        </w:tc>
      </w:tr>
      <w:tr>
        <w:tc>
          <w:tcPr>
            <w:tcW w:type="dxa" w:w="2448"/>
            <w:shd w:val="clear" w:color="auto" w:fill="F5F7FB"/>
          </w:tcPr>
          <w:p>
            <w:pPr>
              <w:spacing w:before="60" w:after="60" w:line="269" w:lineRule="auto"/>
            </w:pPr>
            <w:r/>
            <w:r>
              <w:rPr>
                <w:rFonts w:ascii="Consolas" w:hAnsi="Consolas"/>
                <w:sz w:val="18"/>
                <w:rFonts w:ascii="Consolas" w:hAnsi="Consolas" w:cs="Consolas"/>
              </w:rPr>
              <w:t>finance</w:t>
            </w:r>
          </w:p>
        </w:tc>
        <w:tc>
          <w:tcPr>
            <w:tcW w:type="dxa" w:w="2304"/>
            <w:shd w:val="clear" w:color="auto" w:fill="F5F7FB"/>
          </w:tcPr>
          <w:p>
            <w:pPr>
              <w:spacing w:before="60" w:after="60" w:line="269" w:lineRule="auto"/>
            </w:pPr>
            <w:r/>
            <w:r>
              <w:rPr>
                <w:sz w:val="19"/>
              </w:rPr>
              <w:t>none (read-only)</w:t>
            </w:r>
          </w:p>
        </w:tc>
        <w:tc>
          <w:tcPr>
            <w:tcW w:type="dxa" w:w="4608"/>
            <w:shd w:val="clear" w:color="auto" w:fill="F5F7FB"/>
          </w:tcPr>
          <w:p>
            <w:pPr>
              <w:spacing w:before="60" w:after="60" w:line="269" w:lineRule="auto"/>
            </w:pPr>
            <w:r/>
            <w:r>
              <w:rPr>
                <w:sz w:val="19"/>
              </w:rPr>
              <w:t>Read access to catalog, APIs and docs</w:t>
            </w:r>
          </w:p>
        </w:tc>
      </w:tr>
      <w:tr>
        <w:tc>
          <w:tcPr>
            <w:tcW w:type="dxa" w:w="2448"/>
          </w:tcPr>
          <w:p>
            <w:pPr>
              <w:spacing w:before="60" w:after="60" w:line="269" w:lineRule="auto"/>
            </w:pPr>
            <w:r/>
            <w:r>
              <w:rPr>
                <w:rFonts w:ascii="Consolas" w:hAnsi="Consolas"/>
                <w:sz w:val="18"/>
                <w:rFonts w:ascii="Consolas" w:hAnsi="Consolas" w:cs="Consolas"/>
              </w:rPr>
              <w:t>hr</w:t>
            </w:r>
          </w:p>
        </w:tc>
        <w:tc>
          <w:tcPr>
            <w:tcW w:type="dxa" w:w="2304"/>
          </w:tcPr>
          <w:p>
            <w:pPr>
              <w:spacing w:before="60" w:after="60" w:line="269" w:lineRule="auto"/>
            </w:pPr>
            <w:r/>
            <w:r>
              <w:rPr>
                <w:sz w:val="19"/>
              </w:rPr>
              <w:t>none (read-only)</w:t>
            </w:r>
          </w:p>
        </w:tc>
        <w:tc>
          <w:tcPr>
            <w:tcW w:type="dxa" w:w="4608"/>
          </w:tcPr>
          <w:p>
            <w:pPr>
              <w:spacing w:before="60" w:after="60" w:line="269" w:lineRule="auto"/>
            </w:pPr>
            <w:r/>
            <w:r>
              <w:rPr>
                <w:sz w:val="19"/>
              </w:rPr>
              <w:t>Read access to the org chart and catalog</w:t>
            </w:r>
          </w:p>
        </w:tc>
      </w:tr>
    </w:tbl>
    <w:p>
      <w:pPr>
        <w:pStyle w:val="Heading1"/>
      </w:pPr>
      <w:r>
        <w:t>9.  The software catalog</w:t>
      </w:r>
    </w:p>
    <w:p>
      <w:pPr/>
      <w:r>
        <w:t>The catalog is assembled from locations listed in app-config.yaml. Each location carries its own allow rules, so a location can only contribute the entity kinds it is supposed to.</w:t>
      </w:r>
    </w:p>
    <w:tbl>
      <w:tblPr>
        <w:tblStyle w:val="TableGrid"/>
        <w:tblW w:type="auto" w:w="0"/>
        <w:jc w:val="center"/>
        <w:tblLayout w:type="fixed"/>
        <w:tblLook w:firstColumn="1" w:firstRow="1" w:lastColumn="0" w:lastRow="0" w:noHBand="0" w:noVBand="1" w:val="04A0"/>
      </w:tblPr>
      <w:tblGrid>
        <w:gridCol w:w="4680"/>
        <w:gridCol w:w="4680"/>
      </w:tblGrid>
      <w:tr>
        <w:tc>
          <w:tcPr>
            <w:tcW w:type="dxa" w:w="4320"/>
            <w:shd w:val="clear" w:color="auto" w:fill="000080"/>
          </w:tcPr>
          <w:p>
            <w:pPr>
              <w:spacing w:before="80" w:after="80"/>
            </w:pPr>
            <w:r/>
            <w:r>
              <w:rPr>
                <w:b/>
                <w:color w:val="FFFFFF"/>
                <w:sz w:val="19"/>
              </w:rPr>
              <w:t>Location</w:t>
            </w:r>
          </w:p>
        </w:tc>
        <w:tc>
          <w:tcPr>
            <w:tcW w:type="dxa" w:w="5040"/>
            <w:shd w:val="clear" w:color="auto" w:fill="000080"/>
          </w:tcPr>
          <w:p>
            <w:pPr>
              <w:spacing w:before="80" w:after="80"/>
            </w:pPr>
            <w:r/>
            <w:r>
              <w:rPr>
                <w:b/>
                <w:color w:val="FFFFFF"/>
                <w:sz w:val="19"/>
              </w:rPr>
              <w:t>Contributes</w:t>
            </w:r>
          </w:p>
        </w:tc>
      </w:tr>
      <w:tr>
        <w:tc>
          <w:tcPr>
            <w:tcW w:type="dxa" w:w="4320"/>
          </w:tcPr>
          <w:p>
            <w:pPr>
              <w:spacing w:before="60" w:after="60" w:line="269" w:lineRule="auto"/>
            </w:pPr>
            <w:r/>
            <w:r>
              <w:rPr>
                <w:b/>
                <w:sz w:val="19"/>
              </w:rPr>
              <w:t>GitHub: teamomf-orders-service/catalog-info.yaml</w:t>
            </w:r>
          </w:p>
        </w:tc>
        <w:tc>
          <w:tcPr>
            <w:tcW w:type="dxa" w:w="5040"/>
          </w:tcPr>
          <w:p>
            <w:pPr>
              <w:spacing w:before="60" w:after="60" w:line="269" w:lineRule="auto"/>
            </w:pPr>
            <w:r/>
            <w:r>
              <w:rPr>
                <w:sz w:val="19"/>
              </w:rPr>
              <w:t>Component teamomf-orders-service, API teamomf-orders-api</w:t>
            </w:r>
          </w:p>
        </w:tc>
      </w:tr>
      <w:tr>
        <w:tc>
          <w:tcPr>
            <w:tcW w:type="dxa" w:w="4320"/>
            <w:shd w:val="clear" w:color="auto" w:fill="F5F7FB"/>
          </w:tcPr>
          <w:p>
            <w:pPr>
              <w:spacing w:before="60" w:after="60" w:line="269" w:lineRule="auto"/>
            </w:pPr>
            <w:r/>
            <w:r>
              <w:rPr>
                <w:b/>
                <w:sz w:val="19"/>
              </w:rPr>
              <w:t>catalog/teamomf-org.yaml</w:t>
            </w:r>
          </w:p>
        </w:tc>
        <w:tc>
          <w:tcPr>
            <w:tcW w:type="dxa" w:w="5040"/>
            <w:shd w:val="clear" w:color="auto" w:fill="F5F7FB"/>
          </w:tcPr>
          <w:p>
            <w:pPr>
              <w:spacing w:before="60" w:after="60" w:line="269" w:lineRule="auto"/>
            </w:pPr>
            <w:r/>
            <w:r>
              <w:rPr>
                <w:sz w:val="19"/>
              </w:rPr>
              <w:t>User, Group, Domain - the org chart</w:t>
            </w:r>
          </w:p>
        </w:tc>
      </w:tr>
      <w:tr>
        <w:tc>
          <w:tcPr>
            <w:tcW w:type="dxa" w:w="4320"/>
          </w:tcPr>
          <w:p>
            <w:pPr>
              <w:spacing w:before="60" w:after="60" w:line="269" w:lineRule="auto"/>
            </w:pPr>
            <w:r/>
            <w:r>
              <w:rPr>
                <w:b/>
                <w:sz w:val="19"/>
              </w:rPr>
              <w:t>catalog/teamomf-systems.yaml</w:t>
            </w:r>
          </w:p>
        </w:tc>
        <w:tc>
          <w:tcPr>
            <w:tcW w:type="dxa" w:w="5040"/>
          </w:tcPr>
          <w:p>
            <w:pPr>
              <w:spacing w:before="60" w:after="60" w:line="269" w:lineRule="auto"/>
            </w:pPr>
            <w:r/>
            <w:r>
              <w:rPr>
                <w:sz w:val="19"/>
              </w:rPr>
              <w:t>System TEAMOMF Platform</w:t>
            </w:r>
          </w:p>
        </w:tc>
      </w:tr>
      <w:tr>
        <w:tc>
          <w:tcPr>
            <w:tcW w:type="dxa" w:w="4320"/>
            <w:shd w:val="clear" w:color="auto" w:fill="F5F7FB"/>
          </w:tcPr>
          <w:p>
            <w:pPr>
              <w:spacing w:before="60" w:after="60" w:line="269" w:lineRule="auto"/>
            </w:pPr>
            <w:r/>
            <w:r>
              <w:rPr>
                <w:b/>
                <w:sz w:val="19"/>
              </w:rPr>
              <w:t>templates/*/template.yaml</w:t>
            </w:r>
          </w:p>
        </w:tc>
        <w:tc>
          <w:tcPr>
            <w:tcW w:type="dxa" w:w="5040"/>
            <w:shd w:val="clear" w:color="auto" w:fill="F5F7FB"/>
          </w:tcPr>
          <w:p>
            <w:pPr>
              <w:spacing w:before="60" w:after="60" w:line="269" w:lineRule="auto"/>
            </w:pPr>
            <w:r/>
            <w:r>
              <w:rPr>
                <w:sz w:val="19"/>
              </w:rPr>
              <w:t>Template - one location each</w:t>
            </w:r>
          </w:p>
        </w:tc>
      </w:tr>
    </w:tbl>
    <w:p>
      <w:pPr/>
      <w:r>
        <w:t>Each template gets its own location on purpose: a broken template cannot stop the other two from being ingested.</w:t>
      </w:r>
    </w:p>
    <w:p>
      <w:pPr>
        <w:pStyle w:val="Heading2"/>
      </w:pPr>
      <w:r>
        <w:t>9.1  What you can do with it</w:t>
      </w:r>
    </w:p>
    <w:p>
      <w:pPr>
        <w:pStyle w:val="ListBullet"/>
      </w:pPr>
      <w:r>
        <w:rPr>
          <w:b/>
        </w:rPr>
        <w:t xml:space="preserve">Find anything - </w:t>
      </w:r>
      <w:r>
        <w:t>filter components, APIs, systems and groups by owner, lifecycle, type or tag.</w:t>
      </w:r>
    </w:p>
    <w:p>
      <w:pPr>
        <w:pStyle w:val="ListBullet"/>
      </w:pPr>
      <w:r>
        <w:rPr>
          <w:b/>
        </w:rPr>
        <w:t xml:space="preserve">See ownership - </w:t>
      </w:r>
      <w:r>
        <w:t>every entity names the Group that owns it, and that Group is a real team with real members.</w:t>
      </w:r>
    </w:p>
    <w:p>
      <w:pPr>
        <w:pStyle w:val="ListBullet"/>
      </w:pPr>
      <w:r>
        <w:rPr>
          <w:b/>
        </w:rPr>
        <w:t xml:space="preserve">Read the API contract - </w:t>
      </w:r>
      <w:r>
        <w:t>the Orders API definition is pulled live from openapi.yaml in the repository via the $text resolver, so the catalog cannot drift from the spec the service actually ships.</w:t>
      </w:r>
    </w:p>
    <w:p>
      <w:pPr>
        <w:pStyle w:val="ListBullet"/>
      </w:pPr>
      <w:r>
        <w:rPr>
          <w:b/>
        </w:rPr>
        <w:t xml:space="preserve">Walk the graph - </w:t>
      </w:r>
      <w:r>
        <w:t>the catalog graph shows which components provide which APIs and what belongs to which system.</w:t>
      </w:r>
    </w:p>
    <w:p>
      <w:pPr>
        <w:pStyle w:val="ListBullet"/>
      </w:pPr>
      <w:r>
        <w:rPr>
          <w:b/>
        </w:rPr>
        <w:t xml:space="preserve">Jump to source - </w:t>
      </w:r>
      <w:r>
        <w:t>the github.com/project-slug annotation makes "View Source" open the actual repository, and adds the CI/CD tab.</w:t>
      </w:r>
    </w:p>
    <w:p>
      <w:r>
        <w:br w:type="page"/>
      </w:r>
    </w:p>
    <w:p>
      <w:pPr>
        <w:pStyle w:val="Heading1"/>
      </w:pPr>
      <w:r>
        <w:t>10.  Golden paths: our three software templates</w:t>
      </w:r>
    </w:p>
    <w:p>
      <w:pPr/>
      <w:r>
        <w:t>This is the part of the portal that changes behaviour rather than just informing it. A template is a reviewed skeleton plus a wizard. Running one produces a real GitHub repository that is already in the catalog, already has CI, and already publishes docs.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000080"/>
          </w:tcPr>
          <w:p>
            <w:pPr>
              <w:spacing w:before="80" w:after="80"/>
            </w:pPr>
            <w:r/>
            <w:r>
              <w:rPr>
                <w:b/>
                <w:color w:val="FFFFFF"/>
                <w:sz w:val="19"/>
              </w:rPr>
              <w:t>Template</w:t>
            </w:r>
          </w:p>
        </w:tc>
        <w:tc>
          <w:tcPr>
            <w:tcW w:type="dxa" w:w="2304"/>
            <w:shd w:val="clear" w:color="auto" w:fill="000080"/>
          </w:tcPr>
          <w:p>
            <w:pPr>
              <w:spacing w:before="80" w:after="80"/>
            </w:pPr>
            <w:r/>
            <w:r>
              <w:rPr>
                <w:b/>
                <w:color w:val="FFFFFF"/>
                <w:sz w:val="19"/>
              </w:rPr>
              <w:t>Entity name</w:t>
            </w:r>
          </w:p>
        </w:tc>
        <w:tc>
          <w:tcPr>
            <w:tcW w:type="dxa" w:w="4752"/>
            <w:shd w:val="clear" w:color="auto" w:fill="000080"/>
          </w:tcPr>
          <w:p>
            <w:pPr>
              <w:spacing w:before="80" w:after="80"/>
            </w:pPr>
            <w:r/>
            <w:r>
              <w:rPr>
                <w:b/>
                <w:color w:val="FFFFFF"/>
                <w:sz w:val="19"/>
              </w:rPr>
              <w:t>What you get</w:t>
            </w:r>
          </w:p>
        </w:tc>
      </w:tr>
      <w:tr>
        <w:tc>
          <w:tcPr>
            <w:tcW w:type="dxa" w:w="2304"/>
          </w:tcPr>
          <w:p>
            <w:pPr>
              <w:spacing w:before="60" w:after="60" w:line="269" w:lineRule="auto"/>
            </w:pPr>
            <w:r/>
            <w:r>
              <w:rPr>
                <w:b/>
                <w:sz w:val="19"/>
              </w:rPr>
              <w:t>TEAMOMF Node.js Service</w:t>
            </w:r>
          </w:p>
        </w:tc>
        <w:tc>
          <w:tcPr>
            <w:tcW w:type="dxa" w:w="2304"/>
          </w:tcPr>
          <w:p>
            <w:pPr>
              <w:spacing w:before="60" w:after="60" w:line="269" w:lineRule="auto"/>
            </w:pPr>
            <w:r/>
            <w:r>
              <w:rPr>
                <w:sz w:val="19"/>
              </w:rPr>
              <w:t>teamomf-node-service</w:t>
            </w:r>
          </w:p>
        </w:tc>
        <w:tc>
          <w:tcPr>
            <w:tcW w:type="dxa" w:w="4752"/>
          </w:tcPr>
          <w:p>
            <w:pPr>
              <w:spacing w:before="60" w:after="60" w:line="269" w:lineRule="auto"/>
            </w:pPr>
            <w:r/>
            <w:r>
              <w:rPr>
                <w:sz w:val="19"/>
              </w:rPr>
              <w:t>Node.js 22 + Express 5 service: layered src/, /health endpoint, node:test suite, TechDocs, GitHub Actions CI, catalog-info.yaml.</w:t>
            </w:r>
          </w:p>
        </w:tc>
      </w:tr>
      <w:tr>
        <w:tc>
          <w:tcPr>
            <w:tcW w:type="dxa" w:w="2304"/>
            <w:shd w:val="clear" w:color="auto" w:fill="F5F7FB"/>
          </w:tcPr>
          <w:p>
            <w:pPr>
              <w:spacing w:before="60" w:after="60" w:line="269" w:lineRule="auto"/>
            </w:pPr>
            <w:r/>
            <w:r>
              <w:rPr>
                <w:b/>
                <w:sz w:val="19"/>
              </w:rPr>
              <w:t>TEAMOMF REST API Service</w:t>
            </w:r>
          </w:p>
        </w:tc>
        <w:tc>
          <w:tcPr>
            <w:tcW w:type="dxa" w:w="2304"/>
            <w:shd w:val="clear" w:color="auto" w:fill="F5F7FB"/>
          </w:tcPr>
          <w:p>
            <w:pPr>
              <w:spacing w:before="60" w:after="60" w:line="269" w:lineRule="auto"/>
            </w:pPr>
            <w:r/>
            <w:r>
              <w:rPr>
                <w:sz w:val="19"/>
              </w:rPr>
              <w:t>teamomf-api-service</w:t>
            </w:r>
          </w:p>
        </w:tc>
        <w:tc>
          <w:tcPr>
            <w:tcW w:type="dxa" w:w="4752"/>
            <w:shd w:val="clear" w:color="auto" w:fill="F5F7FB"/>
          </w:tcPr>
          <w:p>
            <w:pPr>
              <w:spacing w:before="60" w:after="60" w:line="269" w:lineRule="auto"/>
            </w:pPr>
            <w:r/>
            <w:r>
              <w:rPr>
                <w:sz w:val="19"/>
              </w:rPr>
              <w:t>Everything above plus an OpenAPI 3.0 contract served at /openapi.yaml and both a Component and an API entity in the catalog.</w:t>
            </w:r>
          </w:p>
        </w:tc>
      </w:tr>
      <w:tr>
        <w:tc>
          <w:tcPr>
            <w:tcW w:type="dxa" w:w="2304"/>
          </w:tcPr>
          <w:p>
            <w:pPr>
              <w:spacing w:before="60" w:after="60" w:line="269" w:lineRule="auto"/>
            </w:pPr>
            <w:r/>
            <w:r>
              <w:rPr>
                <w:b/>
                <w:sz w:val="19"/>
              </w:rPr>
              <w:t>TEAMOMF Documentation Site</w:t>
            </w:r>
          </w:p>
        </w:tc>
        <w:tc>
          <w:tcPr>
            <w:tcW w:type="dxa" w:w="2304"/>
          </w:tcPr>
          <w:p>
            <w:pPr>
              <w:spacing w:before="60" w:after="60" w:line="269" w:lineRule="auto"/>
            </w:pPr>
            <w:r/>
            <w:r>
              <w:rPr>
                <w:sz w:val="19"/>
              </w:rPr>
              <w:t>teamomf-techdocs</w:t>
            </w:r>
          </w:p>
        </w:tc>
        <w:tc>
          <w:tcPr>
            <w:tcW w:type="dxa" w:w="4752"/>
          </w:tcPr>
          <w:p>
            <w:pPr>
              <w:spacing w:before="60" w:after="60" w:line="269" w:lineRule="auto"/>
            </w:pPr>
            <w:r/>
            <w:r>
              <w:rPr>
                <w:sz w:val="19"/>
              </w:rPr>
              <w:t>TechDocs-only repository with our mkdocs.yml, docs/ layout and an ADR directory. For platform guides and standards.</w:t>
            </w:r>
          </w:p>
        </w:tc>
      </w:tr>
    </w:tbl>
    <w:p>
      <w:pPr>
        <w:pStyle w:val="Heading2"/>
      </w:pPr>
      <w:r>
        <w:t>10.1  What happens when you press Create</w:t>
      </w:r>
    </w:p>
    <w:p>
      <w:pPr>
        <w:spacing w:after="100"/>
      </w:pPr>
      <w:r>
        <w:rPr>
          <w:b/>
        </w:rPr>
        <w:t xml:space="preserve">1. Answer. </w:t>
      </w:r>
      <w:r>
        <w:t>Identity, ownership and repository questions. Owner and System are pickers backed by the live catalog, so a typo is impossible.</w:t>
      </w:r>
    </w:p>
    <w:p>
      <w:pPr>
        <w:spacing w:after="100"/>
      </w:pPr>
      <w:r>
        <w:rPr>
          <w:b/>
        </w:rPr>
        <w:t xml:space="preserve">2. fetch:template. </w:t>
      </w:r>
      <w:r>
        <w:t>The skeleton is rendered through Nunjucks with your answers.</w:t>
      </w:r>
    </w:p>
    <w:p>
      <w:pPr>
        <w:spacing w:after="100"/>
      </w:pPr>
      <w:r>
        <w:rPr>
          <w:b/>
        </w:rPr>
        <w:t xml:space="preserve">3. publish:github. </w:t>
      </w:r>
      <w:r>
        <w:t>A real GitHub repository is created and the code pushed.</w:t>
      </w:r>
    </w:p>
    <w:p>
      <w:pPr>
        <w:spacing w:after="100"/>
      </w:pPr>
      <w:r>
        <w:rPr>
          <w:b/>
        </w:rPr>
        <w:t xml:space="preserve">4. catalog:register. </w:t>
      </w:r>
      <w:r>
        <w:t>The new catalog-info.yaml is registered, so the service appears in the portal immediately.</w:t>
      </w:r>
    </w:p>
    <w:p>
      <w:pPr>
        <w:pStyle w:val="Heading2"/>
      </w:pPr>
      <w:r>
        <w:t>10.2  What the skeletons already contain</w:t>
      </w:r>
    </w:p>
    <w:p>
      <w:pPr>
        <w:pStyle w:val="ListBullet"/>
      </w:pPr>
      <w:r>
        <w:t>A layered src/ - routes, domain, validation, middleware, store - rather than one large file.</w:t>
      </w:r>
    </w:p>
    <w:p>
      <w:pPr>
        <w:pStyle w:val="ListBullet"/>
      </w:pPr>
      <w:r>
        <w:t>A /health endpoint, because the CI smoke test and every deployment probe need one.</w:t>
      </w:r>
    </w:p>
    <w:p>
      <w:pPr>
        <w:pStyle w:val="ListBullet"/>
      </w:pPr>
      <w:r>
        <w:t>Tests using the built-in node:test runner, so a new service has zero test framework dependencies.</w:t>
      </w:r>
    </w:p>
    <w:p>
      <w:pPr>
        <w:pStyle w:val="ListBullet"/>
      </w:pPr>
      <w:r>
        <w:t>mkdocs.yml and docs/, so TechDocs works on the first commit.</w:t>
      </w:r>
    </w:p>
    <w:p>
      <w:pPr>
        <w:pStyle w:val="ListBullet"/>
      </w:pPr>
      <w:r>
        <w:t>A GitHub Actions workflow that runs the tests, boots the real entry point and curls /health, then builds the docs with --strict.</w:t>
      </w:r>
    </w:p>
    <w:p>
      <w:pPr>
        <w:pStyle w:val="ListBullet"/>
      </w:pPr>
      <w:r>
        <w:t>A catalog-info.yaml wired to the owner and system you picked in the wizard.</w:t>
      </w:r>
    </w:p>
    <w:p>
      <w:pPr>
        <w:spacing w:before="200" w:after="40"/>
        <w:ind w:left="144"/>
        <w:shd w:val="clear" w:color="auto" w:fill="E6F4E4"/>
        <w:pBdr>
          <w:left w:val="single" w:sz="18" w:space="4" w:color="138808"/>
          <w:top w:val="single" w:sz="4" w:space="4" w:color="E6F4E4"/>
        </w:pBdr>
      </w:pPr>
      <w:r>
        <w:rPr>
          <w:b/>
          <w:color w:val="138808"/>
          <w:sz w:val="17"/>
        </w:rPr>
        <w:t>WHY THIS IS THE HIGHEST-LEVERAGE PART OF THE PORTAL</w:t>
      </w:r>
    </w:p>
    <w:p>
      <w:pPr>
        <w:spacing w:before="0" w:after="240" w:line="288" w:lineRule="auto"/>
        <w:ind w:left="144"/>
        <w:shd w:val="clear" w:color="auto" w:fill="E6F4E4"/>
        <w:pBdr>
          <w:left w:val="single" w:sz="18" w:space="4" w:color="138808"/>
          <w:bottom w:val="single" w:sz="4" w:space="4" w:color="E6F4E4"/>
        </w:pBdr>
      </w:pPr>
      <w:r>
        <w:rPr>
          <w:sz w:val="20"/>
        </w:rPr>
        <w:t>Conventions written on a wiki page decay, because following them is work and skipping them is free. Conventions encoded in a template are the path of least resistance - the new service is correct because doing it correctly was the fastest option available.</w:t>
      </w:r>
    </w:p>
    <w:p>
      <w:pPr>
        <w:spacing w:before="200" w:after="40"/>
        <w:ind w:left="144"/>
        <w:shd w:val="clear" w:color="auto" w:fill="FFF4E5"/>
        <w:pBdr>
          <w:left w:val="single" w:sz="18" w:space="4" w:color="9A4F00"/>
          <w:top w:val="single" w:sz="4" w:space="4" w:color="FFF4E5"/>
        </w:pBdr>
      </w:pPr>
      <w:r>
        <w:rPr>
          <w:b/>
          <w:color w:val="9A4F00"/>
          <w:sz w:val="17"/>
        </w:rPr>
        <w:t>ONE SHARP EDGE TO KNOW ABOUT</w:t>
      </w:r>
    </w:p>
    <w:p>
      <w:pPr>
        <w:spacing w:before="0" w:after="240" w:line="288" w:lineRule="auto"/>
        <w:ind w:left="144"/>
        <w:shd w:val="clear" w:color="auto" w:fill="FFF4E5"/>
        <w:pBdr>
          <w:left w:val="single" w:sz="18" w:space="4" w:color="9A4F00"/>
          <w:bottom w:val="single" w:sz="4" w:space="4" w:color="FFF4E5"/>
        </w:pBdr>
      </w:pPr>
      <w:r>
        <w:rPr>
          <w:sz w:val="20"/>
        </w:rPr>
        <w:t>The scaffolder renders every skeleton file through Nunjucks, whose syntax collides with GitHub Actions expression syntax. The skeleton CI workflows therefore use no Actions expressions at all. If you add one, escape it or the template will fail at render time.</w:t>
      </w:r>
    </w:p>
    <w:p>
      <w:pPr>
        <w:pStyle w:val="Heading1"/>
      </w:pPr>
      <w:r>
        <w:t>11.  TechDocs</w:t>
      </w:r>
    </w:p>
    <w:p>
      <w:pPr/>
      <w:r>
        <w:t>Documentation lives in the service repository as Markdown plus an mkdocs.yml, and the entity points at it with the backstage.io/techdocs-ref annotation. The portal builds and serves it.</w:t>
      </w:r>
    </w:p>
    <w:p>
      <w:pPr>
        <w:pStyle w:val="ListBullet"/>
      </w:pPr>
      <w:r>
        <w:rPr>
          <w:b/>
        </w:rPr>
        <w:t xml:space="preserve">Docs are reviewed with the code - </w:t>
      </w:r>
      <w:r>
        <w:t>they are in the same pull request, so "update the docs" stops being a separate ticket that never gets done.</w:t>
      </w:r>
    </w:p>
    <w:p>
      <w:pPr>
        <w:pStyle w:val="ListBullet"/>
      </w:pPr>
      <w:r>
        <w:rPr>
          <w:b/>
        </w:rPr>
        <w:t xml:space="preserve">Broken links fail the build - </w:t>
      </w:r>
      <w:r>
        <w:t>CI runs mkdocs build --strict, so a dead internal link is caught before merge.</w:t>
      </w:r>
    </w:p>
    <w:p>
      <w:pPr>
        <w:pStyle w:val="ListBullet"/>
      </w:pPr>
      <w:r>
        <w:rPr>
          <w:b/>
        </w:rPr>
        <w:t xml:space="preserve">Docs are searchable - </w:t>
      </w:r>
      <w:r>
        <w:t>the TechDocs collator indexes them into the same search box as the catalog.</w:t>
      </w:r>
    </w:p>
    <w:p>
      <w:pPr/>
      <w:r>
        <w:t>Locally the generator runs as a native process rather than in Docker, because Docker is not available in this WSL environment. That means the mkdocs binary has to be on the backend's PATH - it lives in a Python virtualenv symlinked into ~/.local/bin. In production this moves to CI plus object storage, which is the pattern Backstage recommends anyway.</w:t>
      </w:r>
    </w:p>
    <w:p>
      <w:r>
        <w:br w:type="page"/>
      </w:r>
    </w:p>
    <w:p>
      <w:pPr>
        <w:pStyle w:val="Heading1"/>
      </w:pPr>
      <w:r>
        <w:t>12.  The home page</w:t>
      </w:r>
    </w:p>
    <w:p>
      <w:pPr/>
      <w:r>
        <w:t>The portal's landing page is a widget grid, laid out in app-config.yaml so the layout is configuration rather than code. Eleven widgets: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000080"/>
          </w:tcPr>
          <w:p>
            <w:pPr>
              <w:spacing w:before="80" w:after="80"/>
            </w:pPr>
            <w:r/>
            <w:r>
              <w:rPr>
                <w:b/>
                <w:color w:val="FFFFFF"/>
                <w:sz w:val="19"/>
              </w:rPr>
              <w:t>Widget</w:t>
            </w:r>
          </w:p>
        </w:tc>
        <w:tc>
          <w:tcPr>
            <w:tcW w:type="dxa" w:w="6480"/>
            <w:shd w:val="clear" w:color="auto" w:fill="000080"/>
          </w:tcPr>
          <w:p>
            <w:pPr>
              <w:spacing w:before="80" w:after="80"/>
            </w:pPr>
            <w:r/>
            <w:r>
              <w:rPr>
                <w:b/>
                <w:color w:val="FFFFFF"/>
                <w:sz w:val="19"/>
              </w:rPr>
              <w:t>Shows</w:t>
            </w:r>
          </w:p>
        </w:tc>
      </w:tr>
      <w:tr>
        <w:tc>
          <w:tcPr>
            <w:tcW w:type="dxa" w:w="2880"/>
          </w:tcPr>
          <w:p>
            <w:pPr>
              <w:spacing w:before="60" w:after="60" w:line="269" w:lineRule="auto"/>
            </w:pPr>
            <w:r/>
            <w:r>
              <w:rPr>
                <w:b/>
                <w:sz w:val="19"/>
              </w:rPr>
              <w:t>Search bar</w:t>
            </w:r>
          </w:p>
        </w:tc>
        <w:tc>
          <w:tcPr>
            <w:tcW w:type="dxa" w:w="6480"/>
          </w:tcPr>
          <w:p>
            <w:pPr>
              <w:spacing w:before="60" w:after="60" w:line="269" w:lineRule="auto"/>
            </w:pPr>
            <w:r/>
            <w:r>
              <w:rPr>
                <w:sz w:val="19"/>
              </w:rPr>
              <w:t>Catalog + TechDocs in one box</w:t>
            </w:r>
          </w:p>
        </w:tc>
      </w:tr>
      <w:tr>
        <w:tc>
          <w:tcPr>
            <w:tcW w:type="dxa" w:w="2880"/>
            <w:shd w:val="clear" w:color="auto" w:fill="F5F7FB"/>
          </w:tcPr>
          <w:p>
            <w:pPr>
              <w:spacing w:before="60" w:after="60" w:line="269" w:lineRule="auto"/>
            </w:pPr>
            <w:r/>
            <w:r>
              <w:rPr>
                <w:b/>
                <w:sz w:val="19"/>
              </w:rPr>
              <w:t>Overview</w:t>
            </w:r>
          </w:p>
        </w:tc>
        <w:tc>
          <w:tcPr>
            <w:tcW w:type="dxa" w:w="6480"/>
            <w:shd w:val="clear" w:color="auto" w:fill="F5F7FB"/>
          </w:tcPr>
          <w:p>
            <w:pPr>
              <w:spacing w:before="60" w:after="60" w:line="269" w:lineRule="auto"/>
            </w:pPr>
            <w:r/>
            <w:r>
              <w:rPr>
                <w:sz w:val="19"/>
              </w:rPr>
              <w:t>Greets the user, live catalog totals</w:t>
            </w:r>
          </w:p>
        </w:tc>
      </w:tr>
      <w:tr>
        <w:tc>
          <w:tcPr>
            <w:tcW w:type="dxa" w:w="2880"/>
          </w:tcPr>
          <w:p>
            <w:pPr>
              <w:spacing w:before="60" w:after="60" w:line="269" w:lineRule="auto"/>
            </w:pPr>
            <w:r/>
            <w:r>
              <w:rPr>
                <w:b/>
                <w:sz w:val="19"/>
              </w:rPr>
              <w:t>Quick actions</w:t>
            </w:r>
          </w:p>
        </w:tc>
        <w:tc>
          <w:tcPr>
            <w:tcW w:type="dxa" w:w="6480"/>
          </w:tcPr>
          <w:p>
            <w:pPr>
              <w:spacing w:before="60" w:after="60" w:line="269" w:lineRule="auto"/>
            </w:pPr>
            <w:r/>
            <w:r>
              <w:rPr>
                <w:sz w:val="19"/>
              </w:rPr>
              <w:t>Shortcuts into catalog, APIs, docs, scaffolder</w:t>
            </w:r>
          </w:p>
        </w:tc>
      </w:tr>
      <w:tr>
        <w:tc>
          <w:tcPr>
            <w:tcW w:type="dxa" w:w="2880"/>
            <w:shd w:val="clear" w:color="auto" w:fill="F5F7FB"/>
          </w:tcPr>
          <w:p>
            <w:pPr>
              <w:spacing w:before="60" w:after="60" w:line="269" w:lineRule="auto"/>
            </w:pPr>
            <w:r/>
            <w:r>
              <w:rPr>
                <w:b/>
                <w:sz w:val="19"/>
              </w:rPr>
              <w:t>Your role &amp; access</w:t>
            </w:r>
          </w:p>
        </w:tc>
        <w:tc>
          <w:tcPr>
            <w:tcW w:type="dxa" w:w="6480"/>
            <w:shd w:val="clear" w:color="auto" w:fill="F5F7FB"/>
          </w:tcPr>
          <w:p>
            <w:pPr>
              <w:spacing w:before="60" w:after="60" w:line="269" w:lineRule="auto"/>
            </w:pPr>
            <w:r/>
            <w:r>
              <w:rPr>
                <w:sz w:val="19"/>
              </w:rPr>
              <w:t>Live persona and real ALLOW/DENY decisions</w:t>
            </w:r>
          </w:p>
        </w:tc>
      </w:tr>
      <w:tr>
        <w:tc>
          <w:tcPr>
            <w:tcW w:type="dxa" w:w="2880"/>
          </w:tcPr>
          <w:p>
            <w:pPr>
              <w:spacing w:before="60" w:after="60" w:line="269" w:lineRule="auto"/>
            </w:pPr>
            <w:r/>
            <w:r>
              <w:rPr>
                <w:b/>
                <w:sz w:val="19"/>
              </w:rPr>
              <w:t>Owned by you</w:t>
            </w:r>
          </w:p>
        </w:tc>
        <w:tc>
          <w:tcPr>
            <w:tcW w:type="dxa" w:w="6480"/>
          </w:tcPr>
          <w:p>
            <w:pPr>
              <w:spacing w:before="60" w:after="60" w:line="269" w:lineRule="auto"/>
            </w:pPr>
            <w:r/>
            <w:r>
              <w:rPr>
                <w:sz w:val="19"/>
              </w:rPr>
              <w:t>Entities owned by you or your groups</w:t>
            </w:r>
          </w:p>
        </w:tc>
      </w:tr>
      <w:tr>
        <w:tc>
          <w:tcPr>
            <w:tcW w:type="dxa" w:w="2880"/>
            <w:shd w:val="clear" w:color="auto" w:fill="F5F7FB"/>
          </w:tcPr>
          <w:p>
            <w:pPr>
              <w:spacing w:before="60" w:after="60" w:line="269" w:lineRule="auto"/>
            </w:pPr>
            <w:r/>
            <w:r>
              <w:rPr>
                <w:b/>
                <w:sz w:val="19"/>
              </w:rPr>
              <w:t>Starred entities</w:t>
            </w:r>
          </w:p>
        </w:tc>
        <w:tc>
          <w:tcPr>
            <w:tcW w:type="dxa" w:w="6480"/>
            <w:shd w:val="clear" w:color="auto" w:fill="F5F7FB"/>
          </w:tcPr>
          <w:p>
            <w:pPr>
              <w:spacing w:before="60" w:after="60" w:line="269" w:lineRule="auto"/>
            </w:pPr>
            <w:r/>
            <w:r>
              <w:rPr>
                <w:sz w:val="19"/>
              </w:rPr>
              <w:t>Your bookmarks</w:t>
            </w:r>
          </w:p>
        </w:tc>
      </w:tr>
      <w:tr>
        <w:tc>
          <w:tcPr>
            <w:tcW w:type="dxa" w:w="2880"/>
          </w:tcPr>
          <w:p>
            <w:pPr>
              <w:spacing w:before="60" w:after="60" w:line="269" w:lineRule="auto"/>
            </w:pPr>
            <w:r/>
            <w:r>
              <w:rPr>
                <w:b/>
                <w:sz w:val="19"/>
              </w:rPr>
              <w:t>Services &amp; components</w:t>
            </w:r>
          </w:p>
        </w:tc>
        <w:tc>
          <w:tcPr>
            <w:tcW w:type="dxa" w:w="6480"/>
          </w:tcPr>
          <w:p>
            <w:pPr>
              <w:spacing w:before="60" w:after="60" w:line="269" w:lineRule="auto"/>
            </w:pPr>
            <w:r/>
            <w:r>
              <w:rPr>
                <w:sz w:val="19"/>
              </w:rPr>
              <w:t>Components in the catalog</w:t>
            </w:r>
          </w:p>
        </w:tc>
      </w:tr>
      <w:tr>
        <w:tc>
          <w:tcPr>
            <w:tcW w:type="dxa" w:w="2880"/>
            <w:shd w:val="clear" w:color="auto" w:fill="F5F7FB"/>
          </w:tcPr>
          <w:p>
            <w:pPr>
              <w:spacing w:before="60" w:after="60" w:line="269" w:lineRule="auto"/>
            </w:pPr>
            <w:r/>
            <w:r>
              <w:rPr>
                <w:b/>
                <w:sz w:val="19"/>
              </w:rPr>
              <w:t>APIs</w:t>
            </w:r>
          </w:p>
        </w:tc>
        <w:tc>
          <w:tcPr>
            <w:tcW w:type="dxa" w:w="6480"/>
            <w:shd w:val="clear" w:color="auto" w:fill="F5F7FB"/>
          </w:tcPr>
          <w:p>
            <w:pPr>
              <w:spacing w:before="60" w:after="60" w:line="269" w:lineRule="auto"/>
            </w:pPr>
            <w:r/>
            <w:r>
              <w:rPr>
                <w:sz w:val="19"/>
              </w:rPr>
              <w:t>API entities in the catalog</w:t>
            </w:r>
          </w:p>
        </w:tc>
      </w:tr>
      <w:tr>
        <w:tc>
          <w:tcPr>
            <w:tcW w:type="dxa" w:w="2880"/>
          </w:tcPr>
          <w:p>
            <w:pPr>
              <w:spacing w:before="60" w:after="60" w:line="269" w:lineRule="auto"/>
            </w:pPr>
            <w:r/>
            <w:r>
              <w:rPr>
                <w:b/>
                <w:sz w:val="19"/>
              </w:rPr>
              <w:t>Documentation</w:t>
            </w:r>
          </w:p>
        </w:tc>
        <w:tc>
          <w:tcPr>
            <w:tcW w:type="dxa" w:w="6480"/>
          </w:tcPr>
          <w:p>
            <w:pPr>
              <w:spacing w:before="60" w:after="60" w:line="269" w:lineRule="auto"/>
            </w:pPr>
            <w:r/>
            <w:r>
              <w:rPr>
                <w:sz w:val="19"/>
              </w:rPr>
              <w:t>Entities publishing TechDocs</w:t>
            </w:r>
          </w:p>
        </w:tc>
      </w:tr>
      <w:tr>
        <w:tc>
          <w:tcPr>
            <w:tcW w:type="dxa" w:w="2880"/>
            <w:shd w:val="clear" w:color="auto" w:fill="F5F7FB"/>
          </w:tcPr>
          <w:p>
            <w:pPr>
              <w:spacing w:before="60" w:after="60" w:line="269" w:lineRule="auto"/>
            </w:pPr>
            <w:r/>
            <w:r>
              <w:rPr>
                <w:b/>
                <w:sz w:val="19"/>
              </w:rPr>
              <w:t>Software templates</w:t>
            </w:r>
          </w:p>
        </w:tc>
        <w:tc>
          <w:tcPr>
            <w:tcW w:type="dxa" w:w="6480"/>
            <w:shd w:val="clear" w:color="auto" w:fill="F5F7FB"/>
          </w:tcPr>
          <w:p>
            <w:pPr>
              <w:spacing w:before="60" w:after="60" w:line="269" w:lineRule="auto"/>
            </w:pPr>
            <w:r/>
            <w:r>
              <w:rPr>
                <w:sz w:val="19"/>
              </w:rPr>
              <w:t>Templates you can run</w:t>
            </w:r>
          </w:p>
        </w:tc>
      </w:tr>
      <w:tr>
        <w:tc>
          <w:tcPr>
            <w:tcW w:type="dxa" w:w="2880"/>
          </w:tcPr>
          <w:p>
            <w:pPr>
              <w:spacing w:before="60" w:after="60" w:line="269" w:lineRule="auto"/>
            </w:pPr>
            <w:r/>
            <w:r>
              <w:rPr>
                <w:b/>
                <w:sz w:val="19"/>
              </w:rPr>
              <w:t>Source repositories</w:t>
            </w:r>
          </w:p>
        </w:tc>
        <w:tc>
          <w:tcPr>
            <w:tcW w:type="dxa" w:w="6480"/>
          </w:tcPr>
          <w:p>
            <w:pPr>
              <w:spacing w:before="60" w:after="60" w:line="269" w:lineRule="auto"/>
            </w:pPr>
            <w:r/>
            <w:r>
              <w:rPr>
                <w:sz w:val="19"/>
              </w:rPr>
              <w:t>Real GitHub repos linked from entities</w:t>
            </w:r>
          </w:p>
        </w:tc>
      </w:tr>
    </w:tbl>
    <w:p>
      <w:pPr/>
      <w:r>
        <w:t>Every widget renders live data. None of them contain sample entities, placeholder metrics or hardcoded business data - where there is nothing to show, the card says so and explains what would make real data appear.</w:t>
      </w:r>
    </w:p>
    <w:p>
      <w:pPr>
        <w:pStyle w:val="Heading2"/>
      </w:pPr>
      <w:r>
        <w:t>12.1  The widget worth pointing out</w:t>
      </w:r>
    </w:p>
    <w:p>
      <w:pPr/>
      <w:r>
        <w:t>"Your role &amp; access" is not a static list of what your role should allow. It asks the real permission API, at render time, one representative permission per capability, and shows the actual ALLOW or DENY. If you are ever unsure whether you can do something, that card answers it authoritatively - and it makes the persona model visible instead of mysterious.</w:t>
      </w:r>
    </w:p>
    <w:p>
      <w:pPr>
        <w:pStyle w:val="Heading1"/>
      </w:pPr>
      <w:r>
        <w:t>13.  Look and feel</w:t>
      </w:r>
    </w:p>
    <w:p>
      <w:pPr/>
      <w:r>
        <w:t>The stock Backstage theme is replaced by a TEAMOMF theme built from a single token file. There are no colour literals scattered through components, so the palette can be changed in one place.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shd w:val="clear" w:color="auto" w:fill="000080"/>
          </w:tcPr>
          <w:p>
            <w:pPr>
              <w:spacing w:before="80" w:after="80"/>
            </w:pPr>
            <w:r/>
            <w:r>
              <w:rPr>
                <w:b/>
                <w:color w:val="FFFFFF"/>
                <w:sz w:val="19"/>
              </w:rPr>
              <w:t>Token</w:t>
            </w:r>
          </w:p>
        </w:tc>
        <w:tc>
          <w:tcPr>
            <w:tcW w:type="dxa" w:w="1584"/>
            <w:shd w:val="clear" w:color="auto" w:fill="000080"/>
          </w:tcPr>
          <w:p>
            <w:pPr>
              <w:spacing w:before="80" w:after="80"/>
            </w:pPr>
            <w:r/>
            <w:r>
              <w:rPr>
                <w:b/>
                <w:color w:val="FFFFFF"/>
                <w:sz w:val="19"/>
              </w:rPr>
              <w:t>Value</w:t>
            </w:r>
          </w:p>
        </w:tc>
        <w:tc>
          <w:tcPr>
            <w:tcW w:type="dxa" w:w="5904"/>
            <w:shd w:val="clear" w:color="auto" w:fill="000080"/>
          </w:tcPr>
          <w:p>
            <w:pPr>
              <w:spacing w:before="80" w:after="80"/>
            </w:pPr>
            <w:r/>
            <w:r>
              <w:rPr>
                <w:b/>
                <w:color w:val="FFFFFF"/>
                <w:sz w:val="19"/>
              </w:rPr>
              <w:t>Used for</w:t>
            </w:r>
          </w:p>
        </w:tc>
      </w:tr>
      <w:tr>
        <w:tc>
          <w:tcPr>
            <w:tcW w:type="dxa" w:w="1872"/>
          </w:tcPr>
          <w:p>
            <w:pPr>
              <w:spacing w:before="60" w:after="60" w:line="269" w:lineRule="auto"/>
            </w:pPr>
            <w:r/>
            <w:r>
              <w:rPr>
                <w:rFonts w:ascii="Consolas" w:hAnsi="Consolas"/>
                <w:sz w:val="18"/>
                <w:rFonts w:ascii="Consolas" w:hAnsi="Consolas" w:cs="Consolas"/>
              </w:rPr>
              <w:t>navy</w:t>
            </w:r>
          </w:p>
        </w:tc>
        <w:tc>
          <w:tcPr>
            <w:tcW w:type="dxa" w:w="1584"/>
          </w:tcPr>
          <w:p>
            <w:pPr>
              <w:spacing w:before="60" w:after="60" w:line="269" w:lineRule="auto"/>
            </w:pPr>
            <w:r/>
            <w:r>
              <w:rPr>
                <w:sz w:val="19"/>
              </w:rPr>
              <w:t>#000080</w:t>
            </w:r>
          </w:p>
        </w:tc>
        <w:tc>
          <w:tcPr>
            <w:tcW w:type="dxa" w:w="5904"/>
          </w:tcPr>
          <w:p>
            <w:pPr>
              <w:spacing w:before="60" w:after="60" w:line="269" w:lineRule="auto"/>
            </w:pPr>
            <w:r/>
            <w:r>
              <w:rPr>
                <w:sz w:val="19"/>
              </w:rPr>
              <w:t>Primary application colour, from the Ashoka Chakra blue</w:t>
            </w:r>
          </w:p>
        </w:tc>
      </w:tr>
      <w:tr>
        <w:tc>
          <w:tcPr>
            <w:tcW w:type="dxa" w:w="1872"/>
            <w:shd w:val="clear" w:color="auto" w:fill="F5F7FB"/>
          </w:tcPr>
          <w:p>
            <w:pPr>
              <w:spacing w:before="60" w:after="60" w:line="269" w:lineRule="auto"/>
            </w:pPr>
            <w:r/>
            <w:r>
              <w:rPr>
                <w:rFonts w:ascii="Consolas" w:hAnsi="Consolas"/>
                <w:sz w:val="18"/>
                <w:rFonts w:ascii="Consolas" w:hAnsi="Consolas" w:cs="Consolas"/>
              </w:rPr>
              <w:t>navySurface</w:t>
            </w:r>
          </w:p>
        </w:tc>
        <w:tc>
          <w:tcPr>
            <w:tcW w:type="dxa" w:w="1584"/>
            <w:shd w:val="clear" w:color="auto" w:fill="F5F7FB"/>
          </w:tcPr>
          <w:p>
            <w:pPr>
              <w:spacing w:before="60" w:after="60" w:line="269" w:lineRule="auto"/>
            </w:pPr>
            <w:r/>
            <w:r>
              <w:rPr>
                <w:sz w:val="19"/>
              </w:rPr>
              <w:t>#0A0A3D</w:t>
            </w:r>
          </w:p>
        </w:tc>
        <w:tc>
          <w:tcPr>
            <w:tcW w:type="dxa" w:w="5904"/>
            <w:shd w:val="clear" w:color="auto" w:fill="F5F7FB"/>
          </w:tcPr>
          <w:p>
            <w:pPr>
              <w:spacing w:before="60" w:after="60" w:line="269" w:lineRule="auto"/>
            </w:pPr>
            <w:r/>
            <w:r>
              <w:rPr>
                <w:sz w:val="19"/>
              </w:rPr>
              <w:t>Sidebar and other dark chrome</w:t>
            </w:r>
          </w:p>
        </w:tc>
      </w:tr>
      <w:tr>
        <w:tc>
          <w:tcPr>
            <w:tcW w:type="dxa" w:w="1872"/>
          </w:tcPr>
          <w:p>
            <w:pPr>
              <w:spacing w:before="60" w:after="60" w:line="269" w:lineRule="auto"/>
            </w:pPr>
            <w:r/>
            <w:r>
              <w:rPr>
                <w:rFonts w:ascii="Consolas" w:hAnsi="Consolas"/>
                <w:sz w:val="18"/>
                <w:rFonts w:ascii="Consolas" w:hAnsi="Consolas" w:cs="Consolas"/>
              </w:rPr>
              <w:t>saffron</w:t>
            </w:r>
          </w:p>
        </w:tc>
        <w:tc>
          <w:tcPr>
            <w:tcW w:type="dxa" w:w="1584"/>
          </w:tcPr>
          <w:p>
            <w:pPr>
              <w:spacing w:before="60" w:after="60" w:line="269" w:lineRule="auto"/>
            </w:pPr>
            <w:r/>
            <w:r>
              <w:rPr>
                <w:sz w:val="19"/>
              </w:rPr>
              <w:t>#FF9933</w:t>
            </w:r>
          </w:p>
        </w:tc>
        <w:tc>
          <w:tcPr>
            <w:tcW w:type="dxa" w:w="5904"/>
          </w:tcPr>
          <w:p>
            <w:pPr>
              <w:spacing w:before="60" w:after="60" w:line="269" w:lineRule="auto"/>
            </w:pPr>
            <w:r/>
            <w:r>
              <w:rPr>
                <w:sz w:val="19"/>
              </w:rPr>
              <w:t>Accent only: selection, focus, emphasis</w:t>
            </w:r>
          </w:p>
        </w:tc>
      </w:tr>
      <w:tr>
        <w:tc>
          <w:tcPr>
            <w:tcW w:type="dxa" w:w="1872"/>
            <w:shd w:val="clear" w:color="auto" w:fill="F5F7FB"/>
          </w:tcPr>
          <w:p>
            <w:pPr>
              <w:spacing w:before="60" w:after="60" w:line="269" w:lineRule="auto"/>
            </w:pPr>
            <w:r/>
            <w:r>
              <w:rPr>
                <w:rFonts w:ascii="Consolas" w:hAnsi="Consolas"/>
                <w:sz w:val="18"/>
                <w:rFonts w:ascii="Consolas" w:hAnsi="Consolas" w:cs="Consolas"/>
              </w:rPr>
              <w:t>saffronText</w:t>
            </w:r>
          </w:p>
        </w:tc>
        <w:tc>
          <w:tcPr>
            <w:tcW w:type="dxa" w:w="1584"/>
            <w:shd w:val="clear" w:color="auto" w:fill="F5F7FB"/>
          </w:tcPr>
          <w:p>
            <w:pPr>
              <w:spacing w:before="60" w:after="60" w:line="269" w:lineRule="auto"/>
            </w:pPr>
            <w:r/>
            <w:r>
              <w:rPr>
                <w:sz w:val="19"/>
              </w:rPr>
              <w:t>#9A4F00</w:t>
            </w:r>
          </w:p>
        </w:tc>
        <w:tc>
          <w:tcPr>
            <w:tcW w:type="dxa" w:w="5904"/>
            <w:shd w:val="clear" w:color="auto" w:fill="F5F7FB"/>
          </w:tcPr>
          <w:p>
            <w:pPr>
              <w:spacing w:before="60" w:after="60" w:line="269" w:lineRule="auto"/>
            </w:pPr>
            <w:r/>
            <w:r>
              <w:rPr>
                <w:sz w:val="19"/>
              </w:rPr>
              <w:t>Darkened saffron that reaches 4.5:1 on white for text</w:t>
            </w:r>
          </w:p>
        </w:tc>
      </w:tr>
      <w:tr>
        <w:tc>
          <w:tcPr>
            <w:tcW w:type="dxa" w:w="1872"/>
          </w:tcPr>
          <w:p>
            <w:pPr>
              <w:spacing w:before="60" w:after="60" w:line="269" w:lineRule="auto"/>
            </w:pPr>
            <w:r/>
            <w:r>
              <w:rPr>
                <w:rFonts w:ascii="Consolas" w:hAnsi="Consolas"/>
                <w:sz w:val="18"/>
                <w:rFonts w:ascii="Consolas" w:hAnsi="Consolas" w:cs="Consolas"/>
              </w:rPr>
              <w:t>green</w:t>
            </w:r>
          </w:p>
        </w:tc>
        <w:tc>
          <w:tcPr>
            <w:tcW w:type="dxa" w:w="1584"/>
          </w:tcPr>
          <w:p>
            <w:pPr>
              <w:spacing w:before="60" w:after="60" w:line="269" w:lineRule="auto"/>
            </w:pPr>
            <w:r/>
            <w:r>
              <w:rPr>
                <w:sz w:val="19"/>
              </w:rPr>
              <w:t>#138808</w:t>
            </w:r>
          </w:p>
        </w:tc>
        <w:tc>
          <w:tcPr>
            <w:tcW w:type="dxa" w:w="5904"/>
          </w:tcPr>
          <w:p>
            <w:pPr>
              <w:spacing w:before="60" w:after="60" w:line="269" w:lineRule="auto"/>
            </w:pPr>
            <w:r/>
            <w:r>
              <w:rPr>
                <w:sz w:val="19"/>
              </w:rPr>
              <w:t>Success and positive state only</w:t>
            </w:r>
          </w:p>
        </w:tc>
      </w:tr>
      <w:tr>
        <w:tc>
          <w:tcPr>
            <w:tcW w:type="dxa" w:w="1872"/>
            <w:shd w:val="clear" w:color="auto" w:fill="F5F7FB"/>
          </w:tcPr>
          <w:p>
            <w:pPr>
              <w:spacing w:before="60" w:after="60" w:line="269" w:lineRule="auto"/>
            </w:pPr>
            <w:r/>
            <w:r>
              <w:rPr>
                <w:rFonts w:ascii="Consolas" w:hAnsi="Consolas"/>
                <w:sz w:val="18"/>
                <w:rFonts w:ascii="Consolas" w:hAnsi="Consolas" w:cs="Consolas"/>
              </w:rPr>
              <w:t>canvas</w:t>
            </w:r>
          </w:p>
        </w:tc>
        <w:tc>
          <w:tcPr>
            <w:tcW w:type="dxa" w:w="1584"/>
            <w:shd w:val="clear" w:color="auto" w:fill="F5F7FB"/>
          </w:tcPr>
          <w:p>
            <w:pPr>
              <w:spacing w:before="60" w:after="60" w:line="269" w:lineRule="auto"/>
            </w:pPr>
            <w:r/>
            <w:r>
              <w:rPr>
                <w:sz w:val="19"/>
              </w:rPr>
              <w:t>#F5F7FB</w:t>
            </w:r>
          </w:p>
        </w:tc>
        <w:tc>
          <w:tcPr>
            <w:tcW w:type="dxa" w:w="5904"/>
            <w:shd w:val="clear" w:color="auto" w:fill="F5F7FB"/>
          </w:tcPr>
          <w:p>
            <w:pPr>
              <w:spacing w:before="60" w:after="60" w:line="269" w:lineRule="auto"/>
            </w:pPr>
            <w:r/>
            <w:r>
              <w:rPr>
                <w:sz w:val="19"/>
              </w:rPr>
              <w:t>Page background</w:t>
            </w:r>
          </w:p>
        </w:tc>
      </w:tr>
    </w:tbl>
    <w:p>
      <w:pPr/>
      <w:r>
        <w:t>The palette is India-inspired but restrained: navy carries the application, saffron and green are never used for large surfaces. The separate saffronText token exists because #FF9933 does not meet contrast requirements as text - accessibility was designed in rather than retrofitted.</w:t>
      </w:r>
    </w:p>
    <w:p>
      <w:pPr>
        <w:pStyle w:val="Heading1"/>
      </w:pPr>
      <w:r>
        <w:t>14.  Reference service: teamomf-orders-service</w:t>
      </w:r>
    </w:p>
    <w:p>
      <w:pPr/>
      <w:r>
        <w:t>The Orders Service is both a real catalog entry and the reference the templates were derived from. Node.js 22, Express 5, orders held in an in-memory runtime store so the collection starts empty on every boot.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296"/>
            <w:shd w:val="clear" w:color="auto" w:fill="000080"/>
          </w:tcPr>
          <w:p>
            <w:pPr>
              <w:spacing w:before="80" w:after="80"/>
            </w:pPr>
            <w:r/>
            <w:r>
              <w:rPr>
                <w:b/>
                <w:color w:val="FFFFFF"/>
                <w:sz w:val="19"/>
              </w:rPr>
              <w:t>Method</w:t>
            </w:r>
          </w:p>
        </w:tc>
        <w:tc>
          <w:tcPr>
            <w:tcW w:type="dxa" w:w="2160"/>
            <w:shd w:val="clear" w:color="auto" w:fill="000080"/>
          </w:tcPr>
          <w:p>
            <w:pPr>
              <w:spacing w:before="80" w:after="80"/>
            </w:pPr>
            <w:r/>
            <w:r>
              <w:rPr>
                <w:b/>
                <w:color w:val="FFFFFF"/>
                <w:sz w:val="19"/>
              </w:rPr>
              <w:t>Path</w:t>
            </w:r>
          </w:p>
        </w:tc>
        <w:tc>
          <w:tcPr>
            <w:tcW w:type="dxa" w:w="5904"/>
            <w:shd w:val="clear" w:color="auto" w:fill="000080"/>
          </w:tcPr>
          <w:p>
            <w:pPr>
              <w:spacing w:before="80" w:after="80"/>
            </w:pPr>
            <w:r/>
            <w:r>
              <w:rPr>
                <w:b/>
                <w:color w:val="FFFFFF"/>
                <w:sz w:val="19"/>
              </w:rPr>
              <w:t>Purpose</w:t>
            </w:r>
          </w:p>
        </w:tc>
      </w:tr>
      <w:tr>
        <w:tc>
          <w:tcPr>
            <w:tcW w:type="dxa" w:w="1296"/>
          </w:tcPr>
          <w:p>
            <w:pPr>
              <w:spacing w:before="60" w:after="60" w:line="269" w:lineRule="auto"/>
            </w:pPr>
            <w:r/>
            <w:r>
              <w:rPr>
                <w:rFonts w:ascii="Consolas" w:hAnsi="Consolas"/>
                <w:sz w:val="18"/>
                <w:rFonts w:ascii="Consolas" w:hAnsi="Consolas" w:cs="Consolas"/>
              </w:rPr>
              <w:t>GET</w:t>
            </w:r>
          </w:p>
        </w:tc>
        <w:tc>
          <w:tcPr>
            <w:tcW w:type="dxa" w:w="2160"/>
          </w:tcPr>
          <w:p>
            <w:pPr>
              <w:spacing w:before="60" w:after="60" w:line="269" w:lineRule="auto"/>
            </w:pPr>
            <w:r/>
            <w:r>
              <w:rPr>
                <w:sz w:val="19"/>
              </w:rPr>
              <w:t>/orders</w:t>
            </w:r>
          </w:p>
        </w:tc>
        <w:tc>
          <w:tcPr>
            <w:tcW w:type="dxa" w:w="5904"/>
          </w:tcPr>
          <w:p>
            <w:pPr>
              <w:spacing w:before="60" w:after="60" w:line="269" w:lineRule="auto"/>
            </w:pPr>
            <w:r/>
            <w:r>
              <w:rPr>
                <w:sz w:val="19"/>
              </w:rPr>
              <w:t>List orders; supports status, limit (1-100) and offset</w:t>
            </w:r>
          </w:p>
        </w:tc>
      </w:tr>
      <w:tr>
        <w:tc>
          <w:tcPr>
            <w:tcW w:type="dxa" w:w="1296"/>
            <w:shd w:val="clear" w:color="auto" w:fill="F5F7FB"/>
          </w:tcPr>
          <w:p>
            <w:pPr>
              <w:spacing w:before="60" w:after="60" w:line="269" w:lineRule="auto"/>
            </w:pPr>
            <w:r/>
            <w:r>
              <w:rPr>
                <w:rFonts w:ascii="Consolas" w:hAnsi="Consolas"/>
                <w:sz w:val="18"/>
                <w:rFonts w:ascii="Consolas" w:hAnsi="Consolas" w:cs="Consolas"/>
              </w:rPr>
              <w:t>POST</w:t>
            </w:r>
          </w:p>
        </w:tc>
        <w:tc>
          <w:tcPr>
            <w:tcW w:type="dxa" w:w="2160"/>
            <w:shd w:val="clear" w:color="auto" w:fill="F5F7FB"/>
          </w:tcPr>
          <w:p>
            <w:pPr>
              <w:spacing w:before="60" w:after="60" w:line="269" w:lineRule="auto"/>
            </w:pPr>
            <w:r/>
            <w:r>
              <w:rPr>
                <w:sz w:val="19"/>
              </w:rPr>
              <w:t>/orders</w:t>
            </w:r>
          </w:p>
        </w:tc>
        <w:tc>
          <w:tcPr>
            <w:tcW w:type="dxa" w:w="5904"/>
            <w:shd w:val="clear" w:color="auto" w:fill="F5F7FB"/>
          </w:tcPr>
          <w:p>
            <w:pPr>
              <w:spacing w:before="60" w:after="60" w:line="269" w:lineRule="auto"/>
            </w:pPr>
            <w:r/>
            <w:r>
              <w:rPr>
                <w:sz w:val="19"/>
              </w:rPr>
              <w:t>Create an order</w:t>
            </w:r>
          </w:p>
        </w:tc>
      </w:tr>
      <w:tr>
        <w:tc>
          <w:tcPr>
            <w:tcW w:type="dxa" w:w="1296"/>
          </w:tcPr>
          <w:p>
            <w:pPr>
              <w:spacing w:before="60" w:after="60" w:line="269" w:lineRule="auto"/>
            </w:pPr>
            <w:r/>
            <w:r>
              <w:rPr>
                <w:rFonts w:ascii="Consolas" w:hAnsi="Consolas"/>
                <w:sz w:val="18"/>
                <w:rFonts w:ascii="Consolas" w:hAnsi="Consolas" w:cs="Consolas"/>
              </w:rPr>
              <w:t>GET</w:t>
            </w:r>
          </w:p>
        </w:tc>
        <w:tc>
          <w:tcPr>
            <w:tcW w:type="dxa" w:w="2160"/>
          </w:tcPr>
          <w:p>
            <w:pPr>
              <w:spacing w:before="60" w:after="60" w:line="269" w:lineRule="auto"/>
            </w:pPr>
            <w:r/>
            <w:r>
              <w:rPr>
                <w:sz w:val="19"/>
              </w:rPr>
              <w:t>/orders/{id}</w:t>
            </w:r>
          </w:p>
        </w:tc>
        <w:tc>
          <w:tcPr>
            <w:tcW w:type="dxa" w:w="5904"/>
          </w:tcPr>
          <w:p>
            <w:pPr>
              <w:spacing w:before="60" w:after="60" w:line="269" w:lineRule="auto"/>
            </w:pPr>
            <w:r/>
            <w:r>
              <w:rPr>
                <w:sz w:val="19"/>
              </w:rPr>
              <w:t>Fetch one order</w:t>
            </w:r>
          </w:p>
        </w:tc>
      </w:tr>
      <w:tr>
        <w:tc>
          <w:tcPr>
            <w:tcW w:type="dxa" w:w="1296"/>
            <w:shd w:val="clear" w:color="auto" w:fill="F5F7FB"/>
          </w:tcPr>
          <w:p>
            <w:pPr>
              <w:spacing w:before="60" w:after="60" w:line="269" w:lineRule="auto"/>
            </w:pPr>
            <w:r/>
            <w:r>
              <w:rPr>
                <w:rFonts w:ascii="Consolas" w:hAnsi="Consolas"/>
                <w:sz w:val="18"/>
                <w:rFonts w:ascii="Consolas" w:hAnsi="Consolas" w:cs="Consolas"/>
              </w:rPr>
              <w:t>PUT</w:t>
            </w:r>
          </w:p>
        </w:tc>
        <w:tc>
          <w:tcPr>
            <w:tcW w:type="dxa" w:w="2160"/>
            <w:shd w:val="clear" w:color="auto" w:fill="F5F7FB"/>
          </w:tcPr>
          <w:p>
            <w:pPr>
              <w:spacing w:before="60" w:after="60" w:line="269" w:lineRule="auto"/>
            </w:pPr>
            <w:r/>
            <w:r>
              <w:rPr>
                <w:sz w:val="19"/>
              </w:rPr>
              <w:t>/orders/{id}</w:t>
            </w:r>
          </w:p>
        </w:tc>
        <w:tc>
          <w:tcPr>
            <w:tcW w:type="dxa" w:w="5904"/>
            <w:shd w:val="clear" w:color="auto" w:fill="F5F7FB"/>
          </w:tcPr>
          <w:p>
            <w:pPr>
              <w:spacing w:before="60" w:after="60" w:line="269" w:lineRule="auto"/>
            </w:pPr>
            <w:r/>
            <w:r>
              <w:rPr>
                <w:sz w:val="19"/>
              </w:rPr>
              <w:t>Update contents and/or status</w:t>
            </w:r>
          </w:p>
        </w:tc>
      </w:tr>
      <w:tr>
        <w:tc>
          <w:tcPr>
            <w:tcW w:type="dxa" w:w="1296"/>
          </w:tcPr>
          <w:p>
            <w:pPr>
              <w:spacing w:before="60" w:after="60" w:line="269" w:lineRule="auto"/>
            </w:pPr>
            <w:r/>
            <w:r>
              <w:rPr>
                <w:rFonts w:ascii="Consolas" w:hAnsi="Consolas"/>
                <w:sz w:val="18"/>
                <w:rFonts w:ascii="Consolas" w:hAnsi="Consolas" w:cs="Consolas"/>
              </w:rPr>
              <w:t>DELETE</w:t>
            </w:r>
          </w:p>
        </w:tc>
        <w:tc>
          <w:tcPr>
            <w:tcW w:type="dxa" w:w="2160"/>
          </w:tcPr>
          <w:p>
            <w:pPr>
              <w:spacing w:before="60" w:after="60" w:line="269" w:lineRule="auto"/>
            </w:pPr>
            <w:r/>
            <w:r>
              <w:rPr>
                <w:sz w:val="19"/>
              </w:rPr>
              <w:t>/orders/{id}</w:t>
            </w:r>
          </w:p>
        </w:tc>
        <w:tc>
          <w:tcPr>
            <w:tcW w:type="dxa" w:w="5904"/>
          </w:tcPr>
          <w:p>
            <w:pPr>
              <w:spacing w:before="60" w:after="60" w:line="269" w:lineRule="auto"/>
            </w:pPr>
            <w:r/>
            <w:r>
              <w:rPr>
                <w:sz w:val="19"/>
              </w:rPr>
              <w:t>Delete an order</w:t>
            </w:r>
          </w:p>
        </w:tc>
      </w:tr>
      <w:tr>
        <w:tc>
          <w:tcPr>
            <w:tcW w:type="dxa" w:w="1296"/>
            <w:shd w:val="clear" w:color="auto" w:fill="F5F7FB"/>
          </w:tcPr>
          <w:p>
            <w:pPr>
              <w:spacing w:before="60" w:after="60" w:line="269" w:lineRule="auto"/>
            </w:pPr>
            <w:r/>
            <w:r>
              <w:rPr>
                <w:rFonts w:ascii="Consolas" w:hAnsi="Consolas"/>
                <w:sz w:val="18"/>
                <w:rFonts w:ascii="Consolas" w:hAnsi="Consolas" w:cs="Consolas"/>
              </w:rPr>
              <w:t>GET</w:t>
            </w:r>
          </w:p>
        </w:tc>
        <w:tc>
          <w:tcPr>
            <w:tcW w:type="dxa" w:w="2160"/>
            <w:shd w:val="clear" w:color="auto" w:fill="F5F7FB"/>
          </w:tcPr>
          <w:p>
            <w:pPr>
              <w:spacing w:before="60" w:after="60" w:line="269" w:lineRule="auto"/>
            </w:pPr>
            <w:r/>
            <w:r>
              <w:rPr>
                <w:sz w:val="19"/>
              </w:rPr>
              <w:t>/health</w:t>
            </w:r>
          </w:p>
        </w:tc>
        <w:tc>
          <w:tcPr>
            <w:tcW w:type="dxa" w:w="5904"/>
            <w:shd w:val="clear" w:color="auto" w:fill="F5F7FB"/>
          </w:tcPr>
          <w:p>
            <w:pPr>
              <w:spacing w:before="60" w:after="60" w:line="269" w:lineRule="auto"/>
            </w:pPr>
            <w:r/>
            <w:r>
              <w:rPr>
                <w:sz w:val="19"/>
              </w:rPr>
              <w:t>Liveness and readiness probe</w:t>
            </w:r>
          </w:p>
        </w:tc>
      </w:tr>
      <w:tr>
        <w:tc>
          <w:tcPr>
            <w:tcW w:type="dxa" w:w="1296"/>
          </w:tcPr>
          <w:p>
            <w:pPr>
              <w:spacing w:before="60" w:after="60" w:line="269" w:lineRule="auto"/>
            </w:pPr>
            <w:r/>
            <w:r>
              <w:rPr>
                <w:rFonts w:ascii="Consolas" w:hAnsi="Consolas"/>
                <w:sz w:val="18"/>
                <w:rFonts w:ascii="Consolas" w:hAnsi="Consolas" w:cs="Consolas"/>
              </w:rPr>
              <w:t>GET</w:t>
            </w:r>
          </w:p>
        </w:tc>
        <w:tc>
          <w:tcPr>
            <w:tcW w:type="dxa" w:w="2160"/>
          </w:tcPr>
          <w:p>
            <w:pPr>
              <w:spacing w:before="60" w:after="60" w:line="269" w:lineRule="auto"/>
            </w:pPr>
            <w:r/>
            <w:r>
              <w:rPr>
                <w:sz w:val="19"/>
              </w:rPr>
              <w:t>/metrics</w:t>
            </w:r>
          </w:p>
        </w:tc>
        <w:tc>
          <w:tcPr>
            <w:tcW w:type="dxa" w:w="5904"/>
          </w:tcPr>
          <w:p>
            <w:pPr>
              <w:spacing w:before="60" w:after="60" w:line="269" w:lineRule="auto"/>
            </w:pPr>
            <w:r/>
            <w:r>
              <w:rPr>
                <w:sz w:val="19"/>
              </w:rPr>
              <w:t>Request, order and process counters</w:t>
            </w:r>
          </w:p>
        </w:tc>
      </w:tr>
      <w:tr>
        <w:tc>
          <w:tcPr>
            <w:tcW w:type="dxa" w:w="1296"/>
            <w:shd w:val="clear" w:color="auto" w:fill="F5F7FB"/>
          </w:tcPr>
          <w:p>
            <w:pPr>
              <w:spacing w:before="60" w:after="60" w:line="269" w:lineRule="auto"/>
            </w:pPr>
            <w:r/>
            <w:r>
              <w:rPr>
                <w:rFonts w:ascii="Consolas" w:hAnsi="Consolas"/>
                <w:sz w:val="18"/>
                <w:rFonts w:ascii="Consolas" w:hAnsi="Consolas" w:cs="Consolas"/>
              </w:rPr>
              <w:t>GET</w:t>
            </w:r>
          </w:p>
        </w:tc>
        <w:tc>
          <w:tcPr>
            <w:tcW w:type="dxa" w:w="2160"/>
            <w:shd w:val="clear" w:color="auto" w:fill="F5F7FB"/>
          </w:tcPr>
          <w:p>
            <w:pPr>
              <w:spacing w:before="60" w:after="60" w:line="269" w:lineRule="auto"/>
            </w:pPr>
            <w:r/>
            <w:r>
              <w:rPr>
                <w:sz w:val="19"/>
              </w:rPr>
              <w:t>/openapi.yaml</w:t>
            </w:r>
          </w:p>
        </w:tc>
        <w:tc>
          <w:tcPr>
            <w:tcW w:type="dxa" w:w="5904"/>
            <w:shd w:val="clear" w:color="auto" w:fill="F5F7FB"/>
          </w:tcPr>
          <w:p>
            <w:pPr>
              <w:spacing w:before="60" w:after="60" w:line="269" w:lineRule="auto"/>
            </w:pPr>
            <w:r/>
            <w:r>
              <w:rPr>
                <w:sz w:val="19"/>
              </w:rPr>
              <w:t>The service's own OpenAPI 3.0 document</w:t>
            </w:r>
          </w:p>
        </w:tc>
      </w:tr>
    </w:tbl>
    <w:p>
      <w:pPr>
        <w:pStyle w:val="Heading2"/>
      </w:pPr>
      <w:r>
        <w:t>14.1  Patterns the templates inherited from it</w:t>
      </w:r>
    </w:p>
    <w:p>
      <w:pPr>
        <w:pStyle w:val="ListBullet"/>
      </w:pPr>
      <w:r>
        <w:t>Layered source: routes, domain, validation, middleware, store, errors.</w:t>
      </w:r>
    </w:p>
    <w:p>
      <w:pPr>
        <w:pStyle w:val="ListBullet"/>
      </w:pPr>
      <w:r>
        <w:t>Server-generated fields - id, totalAmount, createdAt, updatedAt - are never accepted from the client, and line totals are always recomputed rather than trusted.</w:t>
      </w:r>
    </w:p>
    <w:p>
      <w:pPr>
        <w:pStyle w:val="ListBullet"/>
      </w:pPr>
      <w:r>
        <w:t>A single ApiError type and one error-handling middleware, so error responses have one shape.</w:t>
      </w:r>
    </w:p>
    <w:p>
      <w:pPr>
        <w:pStyle w:val="ListBullet"/>
      </w:pPr>
      <w:r>
        <w:t>The OpenAPI document is served by the service itself, so the contract and the implementation ship together.</w:t>
      </w:r>
    </w:p>
    <w:p>
      <w:pPr>
        <w:pStyle w:val="ListBullet"/>
      </w:pPr>
      <w:r>
        <w:t>An ADR directory recording why decisions were made - including why the store is in-memory.</w:t>
      </w:r>
    </w:p>
    <w:p>
      <w:pPr>
        <w:spacing w:before="200" w:after="40"/>
        <w:ind w:left="144"/>
        <w:shd w:val="clear" w:color="auto" w:fill="FFF4E5"/>
        <w:pBdr>
          <w:left w:val="single" w:sz="18" w:space="4" w:color="9A4F00"/>
          <w:top w:val="single" w:sz="4" w:space="4" w:color="FFF4E5"/>
        </w:pBdr>
      </w:pPr>
      <w:r>
        <w:rPr>
          <w:b/>
          <w:color w:val="9A4F00"/>
          <w:sz w:val="17"/>
        </w:rPr>
        <w:t>KNOWN LIMITATION, STATED PLAINLY</w:t>
      </w:r>
    </w:p>
    <w:p>
      <w:pPr>
        <w:spacing w:before="0" w:after="240" w:line="288" w:lineRule="auto"/>
        <w:ind w:left="144"/>
        <w:shd w:val="clear" w:color="auto" w:fill="FFF4E5"/>
        <w:pBdr>
          <w:left w:val="single" w:sz="18" w:space="4" w:color="9A4F00"/>
          <w:bottom w:val="single" w:sz="4" w:space="4" w:color="FFF4E5"/>
        </w:pBdr>
      </w:pPr>
      <w:r>
        <w:rPr>
          <w:sz w:val="20"/>
        </w:rPr>
        <w:t>The in-memory store means orders do not survive a restart. That is a deliberate scope decision, documented in an ADR: replacing src/store/orderStore.js is all that is needed to move to a real database.</w:t>
      </w:r>
    </w:p>
    <w:p>
      <w:r>
        <w:br w:type="page"/>
      </w:r>
    </w:p>
    <w:p>
      <w:pPr>
        <w:pStyle w:val="Heading1"/>
      </w:pPr>
      <w:r>
        <w:t>15.  CI and the GitHub integration</w:t>
      </w:r>
    </w:p>
    <w:p>
      <w:pPr/>
      <w:r>
        <w:t>The GitHub integration does three separate jobs in this portal.</w:t>
      </w:r>
    </w:p>
    <w:p>
      <w:pPr>
        <w:pStyle w:val="ListBullet"/>
      </w:pPr>
      <w:r>
        <w:rPr>
          <w:b/>
        </w:rPr>
        <w:t xml:space="preserve">Reading catalog files - </w:t>
      </w:r>
      <w:r>
        <w:t>the Orders Service catalog-info.yaml and its OpenAPI document are fetched from GitHub, not copied into this repo.</w:t>
      </w:r>
    </w:p>
    <w:p>
      <w:pPr>
        <w:pStyle w:val="ListBullet"/>
      </w:pPr>
      <w:r>
        <w:rPr>
          <w:b/>
        </w:rPr>
        <w:t xml:space="preserve">Creating repositories - </w:t>
      </w:r>
      <w:r>
        <w:t>the scaffolder's publish:github step creates a real repository when you run a template.</w:t>
      </w:r>
    </w:p>
    <w:p>
      <w:pPr>
        <w:pStyle w:val="ListBullet"/>
      </w:pPr>
      <w:r>
        <w:rPr>
          <w:b/>
        </w:rPr>
        <w:t xml:space="preserve">Showing workflow runs - </w:t>
      </w:r>
      <w:r>
        <w:t>the GitHub Actions plugin adds a CI/CD tab to any entity carrying the github.com/project-slug annotation, using a short-lived token obtained on your behalf.</w:t>
      </w:r>
    </w:p>
    <w:p>
      <w:pPr>
        <w:pStyle w:val="Heading2"/>
      </w:pPr>
      <w:r>
        <w:t>15.1  What the skeleton CI does</w:t>
      </w:r>
    </w:p>
    <w:p>
      <w:pPr>
        <w:pStyle w:val="ListBullet"/>
      </w:pPr>
      <w:r>
        <w:t>Runs the test suite on Node 22.</w:t>
      </w:r>
    </w:p>
    <w:p>
      <w:pPr>
        <w:pStyle w:val="ListBullet"/>
      </w:pPr>
      <w:r>
        <w:t>Smoke-tests the built service: boots the real entry point and curls /health until it answers - proving the entry point works, not just that the app mounts in-process.</w:t>
      </w:r>
    </w:p>
    <w:p>
      <w:pPr>
        <w:pStyle w:val="ListBullet"/>
      </w:pPr>
      <w:r>
        <w:t>Builds the documentation with mkdocs build --strict, using the same pinned mkdocs-techdocs-core version the portal uses, so a new upstream release cannot turn a green build red.</w:t>
      </w:r>
    </w:p>
    <w:p>
      <w:pPr>
        <w:pStyle w:val="Heading1"/>
      </w:pPr>
      <w:r>
        <w:t>16.  Security choices worth knowing</w:t>
      </w:r>
    </w:p>
    <w:p>
      <w:pPr/>
      <w:r>
        <w:t>The credential store is small, which is exactly why the details matter. Each of these is a real control, not decoration.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000080"/>
          </w:tcPr>
          <w:p>
            <w:pPr>
              <w:spacing w:before="80" w:after="80"/>
            </w:pPr>
            <w:r/>
            <w:r>
              <w:rPr>
                <w:b/>
                <w:color w:val="FFFFFF"/>
                <w:sz w:val="19"/>
              </w:rPr>
              <w:t>Choice</w:t>
            </w:r>
          </w:p>
        </w:tc>
        <w:tc>
          <w:tcPr>
            <w:tcW w:type="dxa" w:w="6624"/>
            <w:shd w:val="clear" w:color="auto" w:fill="000080"/>
          </w:tcPr>
          <w:p>
            <w:pPr>
              <w:spacing w:before="80" w:after="80"/>
            </w:pPr>
            <w:r/>
            <w:r>
              <w:rPr>
                <w:b/>
                <w:color w:val="FFFFFF"/>
                <w:sz w:val="19"/>
              </w:rPr>
              <w:t>Why</w:t>
            </w:r>
          </w:p>
        </w:tc>
      </w:tr>
      <w:tr>
        <w:tc>
          <w:tcPr>
            <w:tcW w:type="dxa" w:w="2736"/>
          </w:tcPr>
          <w:p>
            <w:pPr>
              <w:spacing w:before="60" w:after="60" w:line="269" w:lineRule="auto"/>
            </w:pPr>
            <w:r/>
            <w:r>
              <w:rPr>
                <w:b/>
                <w:sz w:val="19"/>
              </w:rPr>
              <w:t>scrypt, not plaintext or MD5</w:t>
            </w:r>
          </w:p>
        </w:tc>
        <w:tc>
          <w:tcPr>
            <w:tcW w:type="dxa" w:w="6624"/>
          </w:tcPr>
          <w:p>
            <w:pPr>
              <w:spacing w:before="60" w:after="60" w:line="269" w:lineRule="auto"/>
            </w:pPr>
            <w:r/>
            <w:r>
              <w:rPr>
                <w:sz w:val="19"/>
              </w:rPr>
              <w:t>Per-password random salt, 64-byte key, self-describing versioned hash so the scheme can be rotated.</w:t>
            </w:r>
          </w:p>
        </w:tc>
      </w:tr>
      <w:tr>
        <w:tc>
          <w:tcPr>
            <w:tcW w:type="dxa" w:w="2736"/>
            <w:shd w:val="clear" w:color="auto" w:fill="F5F7FB"/>
          </w:tcPr>
          <w:p>
            <w:pPr>
              <w:spacing w:before="60" w:after="60" w:line="269" w:lineRule="auto"/>
            </w:pPr>
            <w:r/>
            <w:r>
              <w:rPr>
                <w:b/>
                <w:sz w:val="19"/>
              </w:rPr>
              <w:t>Constant-time comparison</w:t>
            </w:r>
          </w:p>
        </w:tc>
        <w:tc>
          <w:tcPr>
            <w:tcW w:type="dxa" w:w="6624"/>
            <w:shd w:val="clear" w:color="auto" w:fill="F5F7FB"/>
          </w:tcPr>
          <w:p>
            <w:pPr>
              <w:spacing w:before="60" w:after="60" w:line="269" w:lineRule="auto"/>
            </w:pPr>
            <w:r/>
            <w:r>
              <w:rPr>
                <w:sz w:val="19"/>
              </w:rPr>
              <w:t>A failed check cannot leak how much of the hash matched.</w:t>
            </w:r>
          </w:p>
        </w:tc>
      </w:tr>
      <w:tr>
        <w:tc>
          <w:tcPr>
            <w:tcW w:type="dxa" w:w="2736"/>
          </w:tcPr>
          <w:p>
            <w:pPr>
              <w:spacing w:before="60" w:after="60" w:line="269" w:lineRule="auto"/>
            </w:pPr>
            <w:r/>
            <w:r>
              <w:rPr>
                <w:b/>
                <w:sz w:val="19"/>
              </w:rPr>
              <w:t>Decoy hash on unknown users</w:t>
            </w:r>
          </w:p>
        </w:tc>
        <w:tc>
          <w:tcPr>
            <w:tcW w:type="dxa" w:w="6624"/>
          </w:tcPr>
          <w:p>
            <w:pPr>
              <w:spacing w:before="60" w:after="60" w:line="269" w:lineRule="auto"/>
            </w:pPr>
            <w:r/>
            <w:r>
              <w:rPr>
                <w:sz w:val="19"/>
              </w:rPr>
              <w:t>An unknown username costs the same time as a real one, so the endpoint does not leak which accounts exist.</w:t>
            </w:r>
          </w:p>
        </w:tc>
      </w:tr>
      <w:tr>
        <w:tc>
          <w:tcPr>
            <w:tcW w:type="dxa" w:w="2736"/>
            <w:shd w:val="clear" w:color="auto" w:fill="F5F7FB"/>
          </w:tcPr>
          <w:p>
            <w:pPr>
              <w:spacing w:before="60" w:after="60" w:line="269" w:lineRule="auto"/>
            </w:pPr>
            <w:r/>
            <w:r>
              <w:rPr>
                <w:b/>
                <w:sz w:val="19"/>
              </w:rPr>
              <w:t>Login throttle</w:t>
            </w:r>
          </w:p>
        </w:tc>
        <w:tc>
          <w:tcPr>
            <w:tcW w:type="dxa" w:w="6624"/>
            <w:shd w:val="clear" w:color="auto" w:fill="F5F7FB"/>
          </w:tcPr>
          <w:p>
            <w:pPr>
              <w:spacing w:before="60" w:after="60" w:line="269" w:lineRule="auto"/>
            </w:pPr>
            <w:r/>
            <w:r>
              <w:rPr>
                <w:sz w:val="19"/>
              </w:rPr>
              <w:t>10 failures then a 5-minute block. Without it /login is an unbounded password oracle.</w:t>
            </w:r>
          </w:p>
        </w:tc>
      </w:tr>
      <w:tr>
        <w:tc>
          <w:tcPr>
            <w:tcW w:type="dxa" w:w="2736"/>
          </w:tcPr>
          <w:p>
            <w:pPr>
              <w:spacing w:before="60" w:after="60" w:line="269" w:lineRule="auto"/>
            </w:pPr>
            <w:r/>
            <w:r>
              <w:rPr>
                <w:b/>
                <w:sz w:val="19"/>
              </w:rPr>
              <w:t>HTTP-only session cookie</w:t>
            </w:r>
          </w:p>
        </w:tc>
        <w:tc>
          <w:tcPr>
            <w:tcW w:type="dxa" w:w="6624"/>
          </w:tcPr>
          <w:p>
            <w:pPr>
              <w:spacing w:before="60" w:after="60" w:line="269" w:lineRule="auto"/>
            </w:pPr>
            <w:r/>
            <w:r>
              <w:rPr>
                <w:sz w:val="19"/>
              </w:rPr>
              <w:t>Not readable by page JavaScript, so XSS cannot exfiltrate the session.</w:t>
            </w:r>
          </w:p>
        </w:tc>
      </w:tr>
      <w:tr>
        <w:tc>
          <w:tcPr>
            <w:tcW w:type="dxa" w:w="2736"/>
            <w:shd w:val="clear" w:color="auto" w:fill="F5F7FB"/>
          </w:tcPr>
          <w:p>
            <w:pPr>
              <w:spacing w:before="60" w:after="60" w:line="269" w:lineRule="auto"/>
            </w:pPr>
            <w:r/>
            <w:r>
              <w:rPr>
                <w:b/>
                <w:sz w:val="19"/>
              </w:rPr>
              <w:t>No self-asserted roles</w:t>
            </w:r>
          </w:p>
        </w:tc>
        <w:tc>
          <w:tcPr>
            <w:tcW w:type="dxa" w:w="6624"/>
            <w:shd w:val="clear" w:color="auto" w:fill="F5F7FB"/>
          </w:tcPr>
          <w:p>
            <w:pPr>
              <w:spacing w:before="60" w:after="60" w:line="269" w:lineRule="auto"/>
            </w:pPr>
            <w:r/>
            <w:r>
              <w:rPr>
                <w:sz w:val="19"/>
              </w:rPr>
              <w:t>Authorization comes only from catalog Group membership carried on the identity token.</w:t>
            </w:r>
          </w:p>
        </w:tc>
      </w:tr>
      <w:tr>
        <w:tc>
          <w:tcPr>
            <w:tcW w:type="dxa" w:w="2736"/>
          </w:tcPr>
          <w:p>
            <w:pPr>
              <w:spacing w:before="60" w:after="60" w:line="269" w:lineRule="auto"/>
            </w:pPr>
            <w:r/>
            <w:r>
              <w:rPr>
                <w:b/>
                <w:sz w:val="19"/>
              </w:rPr>
              <w:t>Fail-closed on typos</w:t>
            </w:r>
          </w:p>
        </w:tc>
        <w:tc>
          <w:tcPr>
            <w:tcW w:type="dxa" w:w="6624"/>
          </w:tcPr>
          <w:p>
            <w:pPr>
              <w:spacing w:before="60" w:after="60" w:line="269" w:lineRule="auto"/>
            </w:pPr>
            <w:r/>
            <w:r>
              <w:rPr>
                <w:sz w:val="19"/>
              </w:rPr>
              <w:t>An unknown capability name in app-config.yaml fails backend startup rather than silently granting the wrong thing.</w:t>
            </w:r>
          </w:p>
        </w:tc>
      </w:tr>
      <w:tr>
        <w:tc>
          <w:tcPr>
            <w:tcW w:type="dxa" w:w="2736"/>
            <w:shd w:val="clear" w:color="auto" w:fill="F5F7FB"/>
          </w:tcPr>
          <w:p>
            <w:pPr>
              <w:spacing w:before="60" w:after="60" w:line="269" w:lineRule="auto"/>
            </w:pPr>
            <w:r/>
            <w:r>
              <w:rPr>
                <w:b/>
                <w:sz w:val="19"/>
              </w:rPr>
              <w:t>Default-allow on reads</w:t>
            </w:r>
          </w:p>
        </w:tc>
        <w:tc>
          <w:tcPr>
            <w:tcW w:type="dxa" w:w="6624"/>
            <w:shd w:val="clear" w:color="auto" w:fill="F5F7FB"/>
          </w:tcPr>
          <w:p>
            <w:pPr>
              <w:spacing w:before="60" w:after="60" w:line="269" w:lineRule="auto"/>
            </w:pPr>
            <w:r/>
            <w:r>
              <w:rPr>
                <w:sz w:val="19"/>
              </w:rPr>
              <w:t>Only create/execute/destroy is gated, so installing a new plugin can never silently lock everybody out.</w:t>
            </w:r>
          </w:p>
        </w:tc>
      </w:tr>
    </w:tbl>
    <w:p>
      <w:pPr/>
      <w:r>
        <w:t>One honest caveat: the login throttle is per-process and in-memory. That is sufficient for a single-backend deployment and inadequate for a multi-replica one, where it should move to the shared cache service. It is on the roadmap rather than pretended away.</w:t>
      </w:r>
    </w:p>
    <w:p>
      <w:pPr>
        <w:pStyle w:val="Heading1"/>
      </w:pPr>
      <w:r>
        <w:t>17.  Your first day on the portal</w:t>
      </w:r>
    </w:p>
    <w:p>
      <w:pPr/>
      <w:r>
        <w:t>Whatever your persona, four things are worth doing in your first hour.</w:t>
      </w:r>
    </w:p>
    <w:p>
      <w:pPr>
        <w:pStyle w:val="Heading2"/>
      </w:pPr>
      <w:r>
        <w:t>17.1  Everyone</w:t>
      </w:r>
    </w:p>
    <w:p>
      <w:pPr>
        <w:pStyle w:val="ListBullet"/>
      </w:pPr>
      <w:r>
        <w:rPr>
          <w:b/>
        </w:rPr>
        <w:t xml:space="preserve">Sign in - </w:t>
      </w:r>
      <w:r>
        <w:t>with the TEAMOMF credentials provisioned for you. If sign-in fails, you are probably not in the org chart yet - ask Platform to run yarn teamomf:user add.</w:t>
      </w:r>
    </w:p>
    <w:p>
      <w:pPr>
        <w:pStyle w:val="ListBullet"/>
      </w:pPr>
      <w:r>
        <w:rPr>
          <w:b/>
        </w:rPr>
        <w:t xml:space="preserve">Read your access card - </w:t>
      </w:r>
      <w:r>
        <w:t>the "Your role &amp; access" widget shows your persona and exactly what you can and cannot do. Believe it over any document, including this one.</w:t>
      </w:r>
    </w:p>
    <w:p>
      <w:pPr>
        <w:pStyle w:val="ListBullet"/>
      </w:pPr>
      <w:r>
        <w:rPr>
          <w:b/>
        </w:rPr>
        <w:t xml:space="preserve">Star what you own - </w:t>
      </w:r>
      <w:r>
        <w:t>starred entities appear on your home page.</w:t>
      </w:r>
    </w:p>
    <w:p>
      <w:pPr>
        <w:pStyle w:val="ListBullet"/>
      </w:pPr>
      <w:r>
        <w:rPr>
          <w:b/>
        </w:rPr>
        <w:t xml:space="preserve">Search for something you know - </w:t>
      </w:r>
      <w:r>
        <w:t>confirm the catalog and TechDocs are both being indexed.</w:t>
      </w:r>
    </w:p>
    <w:p>
      <w:pPr>
        <w:pStyle w:val="Heading2"/>
      </w:pPr>
      <w:r>
        <w:t>17.2  Developers and tech leads</w:t>
      </w:r>
    </w:p>
    <w:p>
      <w:pPr>
        <w:pStyle w:val="ListBullet"/>
      </w:pPr>
      <w:r>
        <w:rPr>
          <w:b/>
        </w:rPr>
        <w:t xml:space="preserve">Register your service - </w:t>
      </w:r>
      <w:r>
        <w:t>add a catalog-info.yaml to its repository and register the location. Include github.com/project-slug and backstage.io/techdocs-ref - those two annotations unlock the source link, the CI/CD tab and the docs tab.</w:t>
      </w:r>
    </w:p>
    <w:p>
      <w:pPr>
        <w:pStyle w:val="ListBullet"/>
      </w:pPr>
      <w:r>
        <w:rPr>
          <w:b/>
        </w:rPr>
        <w:t xml:space="preserve">Create something from a template - </w:t>
      </w:r>
      <w:r>
        <w:t>run the Node.js Service template once, end to end, to see what a golden path produces. It is the fastest way to understand what the portal is for.</w:t>
      </w:r>
    </w:p>
    <w:p>
      <w:pPr>
        <w:pStyle w:val="ListBullet"/>
      </w:pPr>
      <w:r>
        <w:rPr>
          <w:b/>
        </w:rPr>
        <w:t xml:space="preserve">Move your docs into the repository - </w:t>
      </w:r>
      <w:r>
        <w:t>markdown plus mkdocs.yml. Your docs then get reviewed and stop rotting.</w:t>
      </w:r>
    </w:p>
    <w:p>
      <w:pPr>
        <w:pStyle w:val="Heading2"/>
      </w:pPr>
      <w:r>
        <w:t>17.3  Engineering managers</w:t>
      </w:r>
    </w:p>
    <w:p>
      <w:pPr>
        <w:pStyle w:val="ListBullet"/>
      </w:pPr>
      <w:r>
        <w:rPr>
          <w:b/>
        </w:rPr>
        <w:t xml:space="preserve">Use the catalog for ownership questions - </w:t>
      </w:r>
      <w:r>
        <w:t>filter by owner to see what each team is accountable for.</w:t>
      </w:r>
    </w:p>
    <w:p>
      <w:pPr>
        <w:pStyle w:val="ListBullet"/>
      </w:pPr>
      <w:r>
        <w:rPr>
          <w:b/>
        </w:rPr>
        <w:t xml:space="preserve">Browse the templates - </w:t>
      </w:r>
      <w:r>
        <w:t>you can read them even though you cannot execute them - useful for knowing what standards new services inherit.</w:t>
      </w:r>
    </w:p>
    <w:p>
      <w:pPr>
        <w:pStyle w:val="ListBullet"/>
      </w:pPr>
      <w:r>
        <w:rPr>
          <w:b/>
        </w:rPr>
        <w:t xml:space="preserve">Refresh a stale entity - </w:t>
      </w:r>
      <w:r>
        <w:t>if a catalog entry looks out of date, you can force it to re-read from source.</w:t>
      </w:r>
    </w:p>
    <w:p>
      <w:pPr>
        <w:pStyle w:val="Heading2"/>
      </w:pPr>
      <w:r>
        <w:t>17.4  Platform</w:t>
      </w:r>
    </w:p>
    <w:p>
      <w:pPr>
        <w:pStyle w:val="ListBullet"/>
      </w:pPr>
      <w:r>
        <w:rPr>
          <w:b/>
        </w:rPr>
        <w:t xml:space="preserve">Own the persona model - </w:t>
      </w:r>
      <w:r>
        <w:t>personas live in app-config.yaml. Changing what a persona can do is a configuration change, not a code change.</w:t>
      </w:r>
    </w:p>
    <w:p>
      <w:pPr>
        <w:pStyle w:val="ListBullet"/>
      </w:pPr>
      <w:r>
        <w:rPr>
          <w:b/>
        </w:rPr>
        <w:t xml:space="preserve">Own the templates - </w:t>
      </w:r>
      <w:r>
        <w:t>a convention change is a template change; every service created after it inherits the fix.</w:t>
      </w:r>
    </w:p>
    <w:p>
      <w:pPr>
        <w:pStyle w:val="ListBullet"/>
      </w:pPr>
      <w:r>
        <w:rPr>
          <w:b/>
        </w:rPr>
        <w:t xml:space="preserve">Onboard people - </w:t>
      </w:r>
      <w:r>
        <w:t>yarn teamomf:user add, then yarn teamomf:user check to confirm the persona resolved as intended.</w:t>
      </w:r>
    </w:p>
    <w:p>
      <w:r>
        <w:br w:type="page"/>
      </w:r>
    </w:p>
    <w:p>
      <w:pPr>
        <w:pStyle w:val="Heading1"/>
      </w:pPr>
      <w:r>
        <w:t>18.  Running it locally</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8"/>
          <w:rFonts w:ascii="Consolas" w:hAnsi="Consolas" w:cs="Consolas"/>
        </w:rPr>
        <w:t>yarn install          # install workspace dependencies (Node 22 or 24)</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start            # frontend on :3000, backend on :7007</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teamomf:user add # provision yourself before first sign-in</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test             # unit tests across the repo</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tsc              # type-check</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lint:all         # lint everything</w:t>
      </w:r>
    </w:p>
    <w:p>
      <w:pPr>
        <w:spacing w:before="0" w:after="0" w:line="240" w:lineRule="auto"/>
        <w:ind w:left="216"/>
        <w:shd w:val="clear" w:color="auto" w:fill="EEF1F8"/>
        <w:pBdr>
          <w:left w:val="single" w:sz="18" w:space="4" w:color="000080"/>
        </w:pBdr>
      </w:pPr>
      <w:r>
        <w:rPr>
          <w:rFonts w:ascii="Consolas" w:hAnsi="Consolas"/>
          <w:color w:val="1B2340"/>
          <w:sz w:val="18"/>
          <w:rFonts w:ascii="Consolas" w:hAnsi="Consolas" w:cs="Consolas"/>
        </w:rPr>
        <w:t>yarn test:e2e         # Playwright end-to-end test</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8"/>
          <w:rFonts w:ascii="Consolas" w:hAnsi="Consolas" w:cs="Consolas"/>
        </w:rPr>
        <w:t xml:space="preserve">    </w:t>
      </w:r>
    </w:p>
    <w:p>
      <w:pPr>
        <w:pStyle w:val="Caption"/>
      </w:pPr>
      <w:r>
        <w:t>Everything runs from the repository root. The frontend proxies to the backend, so both must be running.</w:t>
      </w:r>
    </w:p>
    <w:p>
      <w:pPr/>
      <w:r>
        <w:t>Local state - catalog entities, credentials, TechDocs - lives in a file-backed SQLite database under .data/db rather than in memory, so it survives a backend restart. You do not lose your login every time you restart.</w:t>
      </w:r>
    </w:p>
    <w:p>
      <w:pPr>
        <w:pStyle w:val="Heading1"/>
      </w:pPr>
      <w:r>
        <w:t>19.  Testing and quality</w:t>
      </w:r>
    </w:p>
    <w:p>
      <w:pPr/>
      <w:r>
        <w:t>The tests concentrate on the parts we wrote, which is where the risk is.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000080"/>
          </w:tcPr>
          <w:p>
            <w:pPr>
              <w:spacing w:before="80" w:after="80"/>
            </w:pPr>
            <w:r/>
            <w:r>
              <w:rPr>
                <w:b/>
                <w:color w:val="FFFFFF"/>
                <w:sz w:val="19"/>
              </w:rPr>
              <w:t>Suite</w:t>
            </w:r>
          </w:p>
        </w:tc>
        <w:tc>
          <w:tcPr>
            <w:tcW w:type="dxa" w:w="6336"/>
            <w:shd w:val="clear" w:color="auto" w:fill="000080"/>
          </w:tcPr>
          <w:p>
            <w:pPr>
              <w:spacing w:before="80" w:after="80"/>
            </w:pPr>
            <w:r/>
            <w:r>
              <w:rPr>
                <w:b/>
                <w:color w:val="FFFFFF"/>
                <w:sz w:val="19"/>
              </w:rPr>
              <w:t>Covers</w:t>
            </w:r>
          </w:p>
        </w:tc>
      </w:tr>
      <w:tr>
        <w:tc>
          <w:tcPr>
            <w:tcW w:type="dxa" w:w="3024"/>
          </w:tcPr>
          <w:p>
            <w:pPr>
              <w:spacing w:before="60" w:after="60" w:line="269" w:lineRule="auto"/>
            </w:pPr>
            <w:r/>
            <w:r>
              <w:rPr>
                <w:rFonts w:ascii="Consolas" w:hAnsi="Consolas"/>
                <w:sz w:val="18"/>
                <w:rFonts w:ascii="Consolas" w:hAnsi="Consolas" w:cs="Consolas"/>
              </w:rPr>
              <w:t>password.test.ts</w:t>
            </w:r>
          </w:p>
        </w:tc>
        <w:tc>
          <w:tcPr>
            <w:tcW w:type="dxa" w:w="6336"/>
          </w:tcPr>
          <w:p>
            <w:pPr>
              <w:spacing w:before="60" w:after="60" w:line="269" w:lineRule="auto"/>
            </w:pPr>
            <w:r/>
            <w:r>
              <w:rPr>
                <w:sz w:val="19"/>
              </w:rPr>
              <w:t>Hashing and verification, including malformed hashes</w:t>
            </w:r>
          </w:p>
        </w:tc>
      </w:tr>
      <w:tr>
        <w:tc>
          <w:tcPr>
            <w:tcW w:type="dxa" w:w="3024"/>
            <w:shd w:val="clear" w:color="auto" w:fill="F5F7FB"/>
          </w:tcPr>
          <w:p>
            <w:pPr>
              <w:spacing w:before="60" w:after="60" w:line="269" w:lineRule="auto"/>
            </w:pPr>
            <w:r/>
            <w:r>
              <w:rPr>
                <w:rFonts w:ascii="Consolas" w:hAnsi="Consolas"/>
                <w:sz w:val="18"/>
                <w:rFonts w:ascii="Consolas" w:hAnsi="Consolas" w:cs="Consolas"/>
              </w:rPr>
              <w:t>session.test.ts</w:t>
            </w:r>
          </w:p>
        </w:tc>
        <w:tc>
          <w:tcPr>
            <w:tcW w:type="dxa" w:w="6336"/>
            <w:shd w:val="clear" w:color="auto" w:fill="F5F7FB"/>
          </w:tcPr>
          <w:p>
            <w:pPr>
              <w:spacing w:before="60" w:after="60" w:line="269" w:lineRule="auto"/>
            </w:pPr>
            <w:r/>
            <w:r>
              <w:rPr>
                <w:sz w:val="19"/>
              </w:rPr>
              <w:t>Session token signing, verification and expiry</w:t>
            </w:r>
          </w:p>
        </w:tc>
      </w:tr>
      <w:tr>
        <w:tc>
          <w:tcPr>
            <w:tcW w:type="dxa" w:w="3024"/>
          </w:tcPr>
          <w:p>
            <w:pPr>
              <w:spacing w:before="60" w:after="60" w:line="269" w:lineRule="auto"/>
            </w:pPr>
            <w:r/>
            <w:r>
              <w:rPr>
                <w:rFonts w:ascii="Consolas" w:hAnsi="Consolas"/>
                <w:sz w:val="18"/>
                <w:rFonts w:ascii="Consolas" w:hAnsi="Consolas" w:cs="Consolas"/>
              </w:rPr>
              <w:t>CredentialsStore.test.ts</w:t>
            </w:r>
          </w:p>
        </w:tc>
        <w:tc>
          <w:tcPr>
            <w:tcW w:type="dxa" w:w="6336"/>
          </w:tcPr>
          <w:p>
            <w:pPr>
              <w:spacing w:before="60" w:after="60" w:line="269" w:lineRule="auto"/>
            </w:pPr>
            <w:r/>
            <w:r>
              <w:rPr>
                <w:sz w:val="19"/>
              </w:rPr>
              <w:t>Credential persistence and migrations</w:t>
            </w:r>
          </w:p>
        </w:tc>
      </w:tr>
      <w:tr>
        <w:tc>
          <w:tcPr>
            <w:tcW w:type="dxa" w:w="3024"/>
            <w:shd w:val="clear" w:color="auto" w:fill="F5F7FB"/>
          </w:tcPr>
          <w:p>
            <w:pPr>
              <w:spacing w:before="60" w:after="60" w:line="269" w:lineRule="auto"/>
            </w:pPr>
            <w:r/>
            <w:r>
              <w:rPr>
                <w:rFonts w:ascii="Consolas" w:hAnsi="Consolas"/>
                <w:sz w:val="18"/>
                <w:rFonts w:ascii="Consolas" w:hAnsi="Consolas" w:cs="Consolas"/>
              </w:rPr>
              <w:t>loginThrottle.test.ts</w:t>
            </w:r>
          </w:p>
        </w:tc>
        <w:tc>
          <w:tcPr>
            <w:tcW w:type="dxa" w:w="6336"/>
            <w:shd w:val="clear" w:color="auto" w:fill="F5F7FB"/>
          </w:tcPr>
          <w:p>
            <w:pPr>
              <w:spacing w:before="60" w:after="60" w:line="269" w:lineRule="auto"/>
            </w:pPr>
            <w:r/>
            <w:r>
              <w:rPr>
                <w:sz w:val="19"/>
              </w:rPr>
              <w:t>Failure counting, blocking and expiry</w:t>
            </w:r>
          </w:p>
        </w:tc>
      </w:tr>
      <w:tr>
        <w:tc>
          <w:tcPr>
            <w:tcW w:type="dxa" w:w="3024"/>
          </w:tcPr>
          <w:p>
            <w:pPr>
              <w:spacing w:before="60" w:after="60" w:line="269" w:lineRule="auto"/>
            </w:pPr>
            <w:r/>
            <w:r>
              <w:rPr>
                <w:rFonts w:ascii="Consolas" w:hAnsi="Consolas"/>
                <w:sz w:val="18"/>
                <w:rFonts w:ascii="Consolas" w:hAnsi="Consolas" w:cs="Consolas"/>
              </w:rPr>
              <w:t>TeamomfPermissionPolicy.test.ts</w:t>
            </w:r>
          </w:p>
        </w:tc>
        <w:tc>
          <w:tcPr>
            <w:tcW w:type="dxa" w:w="6336"/>
          </w:tcPr>
          <w:p>
            <w:pPr>
              <w:spacing w:before="60" w:after="60" w:line="269" w:lineRule="auto"/>
            </w:pPr>
            <w:r/>
            <w:r>
              <w:rPr>
                <w:sz w:val="19"/>
              </w:rPr>
              <w:t>Persona resolution and ALLOW/DENY decisions</w:t>
            </w:r>
          </w:p>
        </w:tc>
      </w:tr>
      <w:tr>
        <w:tc>
          <w:tcPr>
            <w:tcW w:type="dxa" w:w="3024"/>
            <w:shd w:val="clear" w:color="auto" w:fill="F5F7FB"/>
          </w:tcPr>
          <w:p>
            <w:pPr>
              <w:spacing w:before="60" w:after="60" w:line="269" w:lineRule="auto"/>
            </w:pPr>
            <w:r/>
            <w:r>
              <w:rPr>
                <w:rFonts w:ascii="Consolas" w:hAnsi="Consolas"/>
                <w:sz w:val="18"/>
                <w:rFonts w:ascii="Consolas" w:hAnsi="Consolas" w:cs="Consolas"/>
              </w:rPr>
              <w:t>orgCatalog.test.ts</w:t>
            </w:r>
          </w:p>
        </w:tc>
        <w:tc>
          <w:tcPr>
            <w:tcW w:type="dxa" w:w="6336"/>
            <w:shd w:val="clear" w:color="auto" w:fill="F5F7FB"/>
          </w:tcPr>
          <w:p>
            <w:pPr>
              <w:spacing w:before="60" w:after="60" w:line="269" w:lineRule="auto"/>
            </w:pPr>
            <w:r/>
            <w:r>
              <w:rPr>
                <w:sz w:val="19"/>
              </w:rPr>
              <w:t>Org chart YAML generation and removal</w:t>
            </w:r>
          </w:p>
        </w:tc>
      </w:tr>
      <w:tr>
        <w:tc>
          <w:tcPr>
            <w:tcW w:type="dxa" w:w="3024"/>
          </w:tcPr>
          <w:p>
            <w:pPr>
              <w:spacing w:before="60" w:after="60" w:line="269" w:lineRule="auto"/>
            </w:pPr>
            <w:r/>
            <w:r>
              <w:rPr>
                <w:rFonts w:ascii="Consolas" w:hAnsi="Consolas"/>
                <w:sz w:val="18"/>
                <w:rFonts w:ascii="Consolas" w:hAnsi="Consolas" w:cs="Consolas"/>
              </w:rPr>
              <w:t>App.test.tsx</w:t>
            </w:r>
          </w:p>
        </w:tc>
        <w:tc>
          <w:tcPr>
            <w:tcW w:type="dxa" w:w="6336"/>
          </w:tcPr>
          <w:p>
            <w:pPr>
              <w:spacing w:before="60" w:after="60" w:line="269" w:lineRule="auto"/>
            </w:pPr>
            <w:r/>
            <w:r>
              <w:rPr>
                <w:sz w:val="19"/>
              </w:rPr>
              <w:t>Frontend app renders</w:t>
            </w:r>
          </w:p>
        </w:tc>
      </w:tr>
      <w:tr>
        <w:tc>
          <w:tcPr>
            <w:tcW w:type="dxa" w:w="3024"/>
            <w:shd w:val="clear" w:color="auto" w:fill="F5F7FB"/>
          </w:tcPr>
          <w:p>
            <w:pPr>
              <w:spacing w:before="60" w:after="60" w:line="269" w:lineRule="auto"/>
            </w:pPr>
            <w:r/>
            <w:r>
              <w:rPr>
                <w:rFonts w:ascii="Consolas" w:hAnsi="Consolas"/>
                <w:sz w:val="18"/>
                <w:rFonts w:ascii="Consolas" w:hAnsi="Consolas" w:cs="Consolas"/>
              </w:rPr>
              <w:t>app.test.ts (Playwright)</w:t>
            </w:r>
          </w:p>
        </w:tc>
        <w:tc>
          <w:tcPr>
            <w:tcW w:type="dxa" w:w="6336"/>
            <w:shd w:val="clear" w:color="auto" w:fill="F5F7FB"/>
          </w:tcPr>
          <w:p>
            <w:pPr>
              <w:spacing w:before="60" w:after="60" w:line="269" w:lineRule="auto"/>
            </w:pPr>
            <w:r/>
            <w:r>
              <w:rPr>
                <w:sz w:val="19"/>
              </w:rPr>
              <w:t>End-to-end smoke test</w:t>
            </w:r>
          </w:p>
        </w:tc>
      </w:tr>
      <w:tr>
        <w:tc>
          <w:tcPr>
            <w:tcW w:type="dxa" w:w="3024"/>
          </w:tcPr>
          <w:p>
            <w:pPr>
              <w:spacing w:before="60" w:after="60" w:line="269" w:lineRule="auto"/>
            </w:pPr>
            <w:r/>
            <w:r>
              <w:rPr>
                <w:rFonts w:ascii="Consolas" w:hAnsi="Consolas"/>
                <w:sz w:val="18"/>
                <w:rFonts w:ascii="Consolas" w:hAnsi="Consolas" w:cs="Consolas"/>
              </w:rPr>
              <w:t>orders.test.js</w:t>
            </w:r>
          </w:p>
        </w:tc>
        <w:tc>
          <w:tcPr>
            <w:tcW w:type="dxa" w:w="6336"/>
          </w:tcPr>
          <w:p>
            <w:pPr>
              <w:spacing w:before="60" w:after="60" w:line="269" w:lineRule="auto"/>
            </w:pPr>
            <w:r/>
            <w:r>
              <w:rPr>
                <w:sz w:val="19"/>
              </w:rPr>
              <w:t>Orders Service API, no test framework dependency</w:t>
            </w:r>
          </w:p>
        </w:tc>
      </w:tr>
    </w:tbl>
    <w:p>
      <w:pPr/>
      <w:r>
        <w:t>The skeletons ship with tests too, so a service created from a template has a green CI run before anyone writes a line of business logic.</w:t>
      </w:r>
    </w:p>
    <w:p>
      <w:pPr>
        <w:pStyle w:val="Heading1"/>
      </w:pPr>
      <w:r>
        <w:t>20.  What comes next</w:t>
      </w:r>
    </w:p>
    <w:p>
      <w:pPr>
        <w:spacing w:after="100"/>
      </w:pPr>
      <w:r>
        <w:rPr>
          <w:b/>
        </w:rPr>
        <w:t xml:space="preserve">Move off SQLite. </w:t>
      </w:r>
      <w:r>
        <w:t>app-config.production.yaml already points at PostgreSQL; the file-backed SQLite database is a local-development choice.</w:t>
      </w:r>
    </w:p>
    <w:p>
      <w:pPr>
        <w:spacing w:after="100"/>
      </w:pPr>
      <w:r>
        <w:rPr>
          <w:b/>
        </w:rPr>
        <w:t xml:space="preserve">External TechDocs publishing. </w:t>
      </w:r>
      <w:r>
        <w:t>Build docs in CI and publish to object storage instead of generating on the portal host.</w:t>
      </w:r>
    </w:p>
    <w:p>
      <w:pPr>
        <w:spacing w:after="100"/>
      </w:pPr>
      <w:r>
        <w:rPr>
          <w:b/>
        </w:rPr>
        <w:t xml:space="preserve">Shared login throttle. </w:t>
      </w:r>
      <w:r>
        <w:t>The throttle is per-process and in-memory; a multi-replica deployment should move it to the shared cache service.</w:t>
      </w:r>
    </w:p>
    <w:p>
      <w:pPr>
        <w:spacing w:after="100"/>
      </w:pPr>
      <w:r>
        <w:rPr>
          <w:b/>
        </w:rPr>
        <w:t xml:space="preserve">Enterprise SSO. </w:t>
      </w:r>
      <w:r>
        <w:t>Credential login is a working baseline; the auth provider seam is where an OIDC provider would slot in.</w:t>
      </w:r>
    </w:p>
    <w:p>
      <w:pPr>
        <w:spacing w:after="100"/>
      </w:pPr>
      <w:r>
        <w:rPr>
          <w:b/>
        </w:rPr>
        <w:t xml:space="preserve">Grow the catalog. </w:t>
      </w:r>
      <w:r>
        <w:t>Every new service arrives with a catalog-info.yaml because the templates emit one. Coverage grows by default.</w:t>
      </w:r>
    </w:p>
    <w:p>
      <w:pPr>
        <w:spacing w:after="100"/>
      </w:pPr>
      <w:r>
        <w:rPr>
          <w:b/>
        </w:rPr>
        <w:t xml:space="preserve">Fill the org chart. </w:t>
      </w:r>
      <w:r>
        <w:t>Two people are registered today. `yarn teamomf:user add` onboards the rest, one real person at a time.</w:t>
      </w:r>
    </w:p>
    <w:p>
      <w:pPr>
        <w:spacing w:before="200" w:after="40"/>
        <w:ind w:left="144"/>
        <w:shd w:val="clear" w:color="auto" w:fill="E6F4E4"/>
        <w:pBdr>
          <w:left w:val="single" w:sz="18" w:space="4" w:color="138808"/>
          <w:top w:val="single" w:sz="4" w:space="4" w:color="E6F4E4"/>
        </w:pBdr>
      </w:pPr>
      <w:r>
        <w:rPr>
          <w:b/>
          <w:color w:val="138808"/>
          <w:sz w:val="17"/>
        </w:rPr>
        <w:t>HOW THIS COMPOUNDS</w:t>
      </w:r>
    </w:p>
    <w:p>
      <w:pPr>
        <w:spacing w:before="0" w:after="240" w:line="288" w:lineRule="auto"/>
        <w:ind w:left="144"/>
        <w:shd w:val="clear" w:color="auto" w:fill="E6F4E4"/>
        <w:pBdr>
          <w:left w:val="single" w:sz="18" w:space="4" w:color="138808"/>
          <w:bottom w:val="single" w:sz="4" w:space="4" w:color="E6F4E4"/>
        </w:pBdr>
      </w:pPr>
      <w:r>
        <w:rPr>
          <w:sz w:val="20"/>
        </w:rPr>
        <w:t>The portal gets more useful as the catalog gets more complete, and the catalog gets more complete on its own because every service created from a template arrives already registered. The work is front-loaded into the templates, which is the point.</w:t>
      </w:r>
    </w:p>
    <w:p>
      <w:r>
        <w:br w:type="page"/>
      </w:r>
    </w:p>
    <w:p>
      <w:pPr>
        <w:pStyle w:val="Heading1"/>
      </w:pPr>
      <w:r>
        <w:t>21.  Glossary</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val="clear" w:color="auto" w:fill="000080"/>
          </w:tcPr>
          <w:p>
            <w:pPr>
              <w:spacing w:before="80" w:after="80"/>
            </w:pPr>
            <w:r/>
            <w:r>
              <w:rPr>
                <w:b/>
                <w:color w:val="FFFFFF"/>
                <w:sz w:val="19"/>
              </w:rPr>
              <w:t>Term</w:t>
            </w:r>
          </w:p>
        </w:tc>
        <w:tc>
          <w:tcPr>
            <w:tcW w:type="dxa" w:w="6912"/>
            <w:shd w:val="clear" w:color="auto" w:fill="000080"/>
          </w:tcPr>
          <w:p>
            <w:pPr>
              <w:spacing w:before="80" w:after="80"/>
            </w:pPr>
            <w:r/>
            <w:r>
              <w:rPr>
                <w:b/>
                <w:color w:val="FFFFFF"/>
                <w:sz w:val="19"/>
              </w:rPr>
              <w:t>Meaning</w:t>
            </w:r>
          </w:p>
        </w:tc>
      </w:tr>
      <w:tr>
        <w:tc>
          <w:tcPr>
            <w:tcW w:type="dxa" w:w="2448"/>
          </w:tcPr>
          <w:p>
            <w:pPr>
              <w:spacing w:before="60" w:after="60" w:line="269" w:lineRule="auto"/>
            </w:pPr>
            <w:r/>
            <w:r>
              <w:rPr>
                <w:b/>
                <w:sz w:val="19"/>
              </w:rPr>
              <w:t>Entity</w:t>
            </w:r>
          </w:p>
        </w:tc>
        <w:tc>
          <w:tcPr>
            <w:tcW w:type="dxa" w:w="6912"/>
          </w:tcPr>
          <w:p>
            <w:pPr>
              <w:spacing w:before="60" w:after="60" w:line="269" w:lineRule="auto"/>
            </w:pPr>
            <w:r/>
            <w:r>
              <w:rPr>
                <w:sz w:val="19"/>
              </w:rPr>
              <w:t>Anything the catalog knows about: Component, API, System, Resource, Group, User, Template, Location, Domain.</w:t>
            </w:r>
          </w:p>
        </w:tc>
      </w:tr>
      <w:tr>
        <w:tc>
          <w:tcPr>
            <w:tcW w:type="dxa" w:w="2448"/>
            <w:shd w:val="clear" w:color="auto" w:fill="F5F7FB"/>
          </w:tcPr>
          <w:p>
            <w:pPr>
              <w:spacing w:before="60" w:after="60" w:line="269" w:lineRule="auto"/>
            </w:pPr>
            <w:r/>
            <w:r>
              <w:rPr>
                <w:b/>
                <w:sz w:val="19"/>
              </w:rPr>
              <w:t>catalog-info.yaml</w:t>
            </w:r>
          </w:p>
        </w:tc>
        <w:tc>
          <w:tcPr>
            <w:tcW w:type="dxa" w:w="6912"/>
            <w:shd w:val="clear" w:color="auto" w:fill="F5F7FB"/>
          </w:tcPr>
          <w:p>
            <w:pPr>
              <w:spacing w:before="60" w:after="60" w:line="269" w:lineRule="auto"/>
            </w:pPr>
            <w:r/>
            <w:r>
              <w:rPr>
                <w:sz w:val="19"/>
              </w:rPr>
              <w:t>The descriptor file that registers an entity. Lives in the repository it describes.</w:t>
            </w:r>
          </w:p>
        </w:tc>
      </w:tr>
      <w:tr>
        <w:tc>
          <w:tcPr>
            <w:tcW w:type="dxa" w:w="2448"/>
          </w:tcPr>
          <w:p>
            <w:pPr>
              <w:spacing w:before="60" w:after="60" w:line="269" w:lineRule="auto"/>
            </w:pPr>
            <w:r/>
            <w:r>
              <w:rPr>
                <w:b/>
                <w:sz w:val="19"/>
              </w:rPr>
              <w:t>Component</w:t>
            </w:r>
          </w:p>
        </w:tc>
        <w:tc>
          <w:tcPr>
            <w:tcW w:type="dxa" w:w="6912"/>
          </w:tcPr>
          <w:p>
            <w:pPr>
              <w:spacing w:before="60" w:after="60" w:line="269" w:lineRule="auto"/>
            </w:pPr>
            <w:r/>
            <w:r>
              <w:rPr>
                <w:sz w:val="19"/>
              </w:rPr>
              <w:t>A piece of software you build and run - typically a service.</w:t>
            </w:r>
          </w:p>
        </w:tc>
      </w:tr>
      <w:tr>
        <w:tc>
          <w:tcPr>
            <w:tcW w:type="dxa" w:w="2448"/>
            <w:shd w:val="clear" w:color="auto" w:fill="F5F7FB"/>
          </w:tcPr>
          <w:p>
            <w:pPr>
              <w:spacing w:before="60" w:after="60" w:line="269" w:lineRule="auto"/>
            </w:pPr>
            <w:r/>
            <w:r>
              <w:rPr>
                <w:b/>
                <w:sz w:val="19"/>
              </w:rPr>
              <w:t>API</w:t>
            </w:r>
          </w:p>
        </w:tc>
        <w:tc>
          <w:tcPr>
            <w:tcW w:type="dxa" w:w="6912"/>
            <w:shd w:val="clear" w:color="auto" w:fill="F5F7FB"/>
          </w:tcPr>
          <w:p>
            <w:pPr>
              <w:spacing w:before="60" w:after="60" w:line="269" w:lineRule="auto"/>
            </w:pPr>
            <w:r/>
            <w:r>
              <w:rPr>
                <w:sz w:val="19"/>
              </w:rPr>
              <w:t>A published interface, e.g. an OpenAPI contract, that Components provide or consume.</w:t>
            </w:r>
          </w:p>
        </w:tc>
      </w:tr>
      <w:tr>
        <w:tc>
          <w:tcPr>
            <w:tcW w:type="dxa" w:w="2448"/>
          </w:tcPr>
          <w:p>
            <w:pPr>
              <w:spacing w:before="60" w:after="60" w:line="269" w:lineRule="auto"/>
            </w:pPr>
            <w:r/>
            <w:r>
              <w:rPr>
                <w:b/>
                <w:sz w:val="19"/>
              </w:rPr>
              <w:t>System</w:t>
            </w:r>
          </w:p>
        </w:tc>
        <w:tc>
          <w:tcPr>
            <w:tcW w:type="dxa" w:w="6912"/>
          </w:tcPr>
          <w:p>
            <w:pPr>
              <w:spacing w:before="60" w:after="60" w:line="269" w:lineRule="auto"/>
            </w:pPr>
            <w:r/>
            <w:r>
              <w:rPr>
                <w:sz w:val="19"/>
              </w:rPr>
              <w:t>A group of Components, APIs and Resources built and operated together.</w:t>
            </w:r>
          </w:p>
        </w:tc>
      </w:tr>
      <w:tr>
        <w:tc>
          <w:tcPr>
            <w:tcW w:type="dxa" w:w="2448"/>
            <w:shd w:val="clear" w:color="auto" w:fill="F5F7FB"/>
          </w:tcPr>
          <w:p>
            <w:pPr>
              <w:spacing w:before="60" w:after="60" w:line="269" w:lineRule="auto"/>
            </w:pPr>
            <w:r/>
            <w:r>
              <w:rPr>
                <w:b/>
                <w:sz w:val="19"/>
              </w:rPr>
              <w:t>Group</w:t>
            </w:r>
          </w:p>
        </w:tc>
        <w:tc>
          <w:tcPr>
            <w:tcW w:type="dxa" w:w="6912"/>
            <w:shd w:val="clear" w:color="auto" w:fill="F5F7FB"/>
          </w:tcPr>
          <w:p>
            <w:pPr>
              <w:spacing w:before="60" w:after="60" w:line="269" w:lineRule="auto"/>
            </w:pPr>
            <w:r/>
            <w:r>
              <w:rPr>
                <w:sz w:val="19"/>
              </w:rPr>
              <w:t>A team. In TEAMOMF a Group is also the unit of authorization and the unit of persona.</w:t>
            </w:r>
          </w:p>
        </w:tc>
      </w:tr>
      <w:tr>
        <w:tc>
          <w:tcPr>
            <w:tcW w:type="dxa" w:w="2448"/>
          </w:tcPr>
          <w:p>
            <w:pPr>
              <w:spacing w:before="60" w:after="60" w:line="269" w:lineRule="auto"/>
            </w:pPr>
            <w:r/>
            <w:r>
              <w:rPr>
                <w:b/>
                <w:sz w:val="19"/>
              </w:rPr>
              <w:t>Scaffolder</w:t>
            </w:r>
          </w:p>
        </w:tc>
        <w:tc>
          <w:tcPr>
            <w:tcW w:type="dxa" w:w="6912"/>
          </w:tcPr>
          <w:p>
            <w:pPr>
              <w:spacing w:before="60" w:after="60" w:line="269" w:lineRule="auto"/>
            </w:pPr>
            <w:r/>
            <w:r>
              <w:rPr>
                <w:sz w:val="19"/>
              </w:rPr>
              <w:t>The engine behind Software Templates.</w:t>
            </w:r>
          </w:p>
        </w:tc>
      </w:tr>
      <w:tr>
        <w:tc>
          <w:tcPr>
            <w:tcW w:type="dxa" w:w="2448"/>
            <w:shd w:val="clear" w:color="auto" w:fill="F5F7FB"/>
          </w:tcPr>
          <w:p>
            <w:pPr>
              <w:spacing w:before="60" w:after="60" w:line="269" w:lineRule="auto"/>
            </w:pPr>
            <w:r/>
            <w:r>
              <w:rPr>
                <w:b/>
                <w:sz w:val="19"/>
              </w:rPr>
              <w:t>Golden path</w:t>
            </w:r>
          </w:p>
        </w:tc>
        <w:tc>
          <w:tcPr>
            <w:tcW w:type="dxa" w:w="6912"/>
            <w:shd w:val="clear" w:color="auto" w:fill="F5F7FB"/>
          </w:tcPr>
          <w:p>
            <w:pPr>
              <w:spacing w:before="60" w:after="60" w:line="269" w:lineRule="auto"/>
            </w:pPr>
            <w:r/>
            <w:r>
              <w:rPr>
                <w:sz w:val="19"/>
              </w:rPr>
              <w:t>The supported, paved way to do something - encoded in a template rather than a wiki page.</w:t>
            </w:r>
          </w:p>
        </w:tc>
      </w:tr>
      <w:tr>
        <w:tc>
          <w:tcPr>
            <w:tcW w:type="dxa" w:w="2448"/>
          </w:tcPr>
          <w:p>
            <w:pPr>
              <w:spacing w:before="60" w:after="60" w:line="269" w:lineRule="auto"/>
            </w:pPr>
            <w:r/>
            <w:r>
              <w:rPr>
                <w:b/>
                <w:sz w:val="19"/>
              </w:rPr>
              <w:t>Persona</w:t>
            </w:r>
          </w:p>
        </w:tc>
        <w:tc>
          <w:tcPr>
            <w:tcW w:type="dxa" w:w="6912"/>
          </w:tcPr>
          <w:p>
            <w:pPr>
              <w:spacing w:before="60" w:after="60" w:line="269" w:lineRule="auto"/>
            </w:pPr>
            <w:r/>
            <w:r>
              <w:rPr>
                <w:sz w:val="19"/>
              </w:rPr>
              <w:t>TEAMOMF's name for a catalog Group plus the capabilities it grants.</w:t>
            </w:r>
          </w:p>
        </w:tc>
      </w:tr>
      <w:tr>
        <w:tc>
          <w:tcPr>
            <w:tcW w:type="dxa" w:w="2448"/>
            <w:shd w:val="clear" w:color="auto" w:fill="F5F7FB"/>
          </w:tcPr>
          <w:p>
            <w:pPr>
              <w:spacing w:before="60" w:after="60" w:line="269" w:lineRule="auto"/>
            </w:pPr>
            <w:r/>
            <w:r>
              <w:rPr>
                <w:b/>
                <w:sz w:val="19"/>
              </w:rPr>
              <w:t>Capability</w:t>
            </w:r>
          </w:p>
        </w:tc>
        <w:tc>
          <w:tcPr>
            <w:tcW w:type="dxa" w:w="6912"/>
            <w:shd w:val="clear" w:color="auto" w:fill="F5F7FB"/>
          </w:tcPr>
          <w:p>
            <w:pPr>
              <w:spacing w:before="60" w:after="60" w:line="269" w:lineRule="auto"/>
            </w:pPr>
            <w:r/>
            <w:r>
              <w:rPr>
                <w:sz w:val="19"/>
              </w:rPr>
              <w:t>A named bundle of real Backstage permissions, e.g. scaffolder.execute.</w:t>
            </w:r>
          </w:p>
        </w:tc>
      </w:tr>
      <w:tr>
        <w:tc>
          <w:tcPr>
            <w:tcW w:type="dxa" w:w="2448"/>
          </w:tcPr>
          <w:p>
            <w:pPr>
              <w:spacing w:before="60" w:after="60" w:line="269" w:lineRule="auto"/>
            </w:pPr>
            <w:r/>
            <w:r>
              <w:rPr>
                <w:b/>
                <w:sz w:val="19"/>
              </w:rPr>
              <w:t>TechDocs</w:t>
            </w:r>
          </w:p>
        </w:tc>
        <w:tc>
          <w:tcPr>
            <w:tcW w:type="dxa" w:w="6912"/>
          </w:tcPr>
          <w:p>
            <w:pPr>
              <w:spacing w:before="60" w:after="60" w:line="269" w:lineRule="auto"/>
            </w:pPr>
            <w:r/>
            <w:r>
              <w:rPr>
                <w:sz w:val="19"/>
              </w:rPr>
              <w:t>Backstage's docs-as-code system, built on MkDocs.</w:t>
            </w:r>
          </w:p>
        </w:tc>
      </w:tr>
      <w:tr>
        <w:tc>
          <w:tcPr>
            <w:tcW w:type="dxa" w:w="2448"/>
            <w:shd w:val="clear" w:color="auto" w:fill="F5F7FB"/>
          </w:tcPr>
          <w:p>
            <w:pPr>
              <w:spacing w:before="60" w:after="60" w:line="269" w:lineRule="auto"/>
            </w:pPr>
            <w:r/>
            <w:r>
              <w:rPr>
                <w:b/>
                <w:sz w:val="19"/>
              </w:rPr>
              <w:t>IDP</w:t>
            </w:r>
          </w:p>
        </w:tc>
        <w:tc>
          <w:tcPr>
            <w:tcW w:type="dxa" w:w="6912"/>
            <w:shd w:val="clear" w:color="auto" w:fill="F5F7FB"/>
          </w:tcPr>
          <w:p>
            <w:pPr>
              <w:spacing w:before="60" w:after="60" w:line="269" w:lineRule="auto"/>
            </w:pPr>
            <w:r/>
            <w:r>
              <w:rPr>
                <w:sz w:val="19"/>
              </w:rPr>
              <w:t>Internal Developer Portal - the single front door to engineering.</w:t>
            </w:r>
          </w:p>
        </w:tc>
      </w:tr>
    </w:tbl>
    <w:p>
      <w:pPr>
        <w:spacing w:before="40" w:after="40"/>
        <w:pBdr>
          <w:bottom w:val="single" w:sz="12" w:space="6" w:color="FF9933"/>
        </w:pBdr>
      </w:pPr>
    </w:p>
    <w:p>
      <w:pPr/>
      <w:r>
        <w:rPr>
          <w:i/>
          <w:color w:val="4A5273"/>
          <w:sz w:val="20"/>
        </w:rPr>
        <w:t>Questions, corrections and additions are welcome - this document describes a portal that is still being built, and the catalog is only as good as what we put in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4A5273"/>
        <w:sz w:val="16"/>
      </w:rPr>
      <w:t>TEAMOMF Developer Portal  -  Backstage 1.54.0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93" w:lineRule="auto"/>
    </w:pPr>
    <w:rPr>
      <w:rFonts w:ascii="Segoe UI" w:hAnsi="Segoe UI" w:cs="Segoe UI" w:eastAsia="Segoe UI"/>
      <w:b w:val="0"/>
      <w:i w:val="0"/>
      <w:color w:val="111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cs="Segoe UI" w:eastAsia="Segoe UI"/>
      <w:b/>
      <w:bCs/>
      <w:i w:val="0"/>
      <w:color w:val="00008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eastAsia="Segoe UI"/>
      <w:b/>
      <w:bCs/>
      <w:i w:val="0"/>
      <w:color w:val="0000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cs="Segoe UI" w:eastAsia="Segoe UI"/>
      <w:b/>
      <w:bCs/>
      <w:i w:val="0"/>
      <w:color w:val="1116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Segoe UI" w:hAnsi="Segoe UI" w:cs="Segoe UI" w:eastAsia="Segoe UI"/>
      <w:b/>
      <w:i w:val="0"/>
      <w:color w:val="00008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contextualSpacing/>
    </w:pPr>
    <w:rPr>
      <w:rFonts w:ascii="Segoe UI" w:hAnsi="Segoe UI" w:cs="Segoe UI" w:eastAsia="Segoe UI"/>
      <w:b w:val="0"/>
      <w:i w:val="0"/>
      <w:color w:val="1116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contextualSpacing/>
    </w:pPr>
    <w:rPr>
      <w:rFonts w:ascii="Segoe UI" w:hAnsi="Segoe UI" w:cs="Segoe UI" w:eastAsia="Segoe UI"/>
      <w:b w:val="0"/>
      <w:i w:val="0"/>
      <w:color w:val="1116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pPr>
    <w:rPr>
      <w:rFonts w:ascii="Segoe UI" w:hAnsi="Segoe UI" w:cs="Segoe UI" w:eastAsia="Segoe UI"/>
      <w:b w:val="0"/>
      <w:i/>
      <w:iCs/>
      <w:color w:val="4A5273"/>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240"/>
    </w:pPr>
    <w:rPr>
      <w:rFonts w:ascii="Segoe UI" w:hAnsi="Segoe UI" w:cs="Segoe UI" w:eastAsia="Segoe UI"/>
      <w:b w:val="0"/>
      <w:bCs/>
      <w:i/>
      <w:color w:val="4A5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