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F172A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color w:val="2DD4BF"/>
                <w:sz w:val="19"/>
              </w:rPr>
              <w:t>DEEP LEARNING &amp; COMPUTER VISION PROJECT BRIEF</w:t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/>
                <w:b/>
                <w:color w:val="FFFFFF"/>
                <w:sz w:val="34"/>
              </w:rPr>
              <w:t>WasteLens AI: Real-Time Multi-Class Waste Classification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CBD5E1"/>
                <w:sz w:val="20"/>
              </w:rPr>
              <w:t>Automated 9-Category Recycling Pipeline Powered by Transfer Learning &amp; Cloud Edge Deployment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ARCHITECTURE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MobileNetV2 + TTA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VALIDATION ACCURACY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85.12% (15,323 Imgs)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LIVE DEPLOYMENT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wastelensai.netlify.app</w:t>
            </w:r>
          </w:p>
        </w:tc>
        <w:tc>
          <w:tcPr>
            <w:tcW w:type="dxa" w:w="259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5"/>
              </w:rPr>
              <w:t>INFERENCE LATENCY</w:t>
              <w:br/>
            </w:r>
            <w:r>
              <w:rPr>
                <w:rFonts w:ascii="Calibri" w:hAnsi="Calibri"/>
                <w:b/>
                <w:color w:val="0F172A"/>
                <w:sz w:val="19"/>
              </w:rPr>
              <w:t>~78 ms / Item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color w:val="0D9488"/>
          <w:sz w:val="23"/>
        </w:rPr>
        <w:t>1. Problem Statement &amp; Motivation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The Urban Waste Crisis: </w:t>
      </w:r>
      <w:r>
        <w:rPr>
          <w:rFonts w:ascii="Calibri" w:hAnsi="Calibri"/>
          <w:color w:val="334155"/>
          <w:sz w:val="19"/>
        </w:rPr>
        <w:t>Municipal solid waste management is an urgent ecological challenge. Contamination in recyclable streams causes over 25% of recyclable materials to be diverted to landfills, costing billions annually. Manual waste segregation is unhygienic, error-prone, and economically unscalable. WasteLens AI provides an automated, computer vision-based decision system that identifies recyclable items and directs them to correct municipal disposal streams in real time.</w:t>
      </w:r>
    </w:p>
    <w:p>
      <w:pPr>
        <w:keepNext/>
        <w:spacing w:before="160" w:after="60"/>
      </w:pPr>
      <w:r>
        <w:rPr>
          <w:rFonts w:ascii="Calibri" w:hAnsi="Calibri"/>
          <w:b/>
          <w:color w:val="0D9488"/>
          <w:sz w:val="23"/>
        </w:rPr>
        <w:t>2. Multi-Dataset Corpus &amp; Preprocessing Pipeline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Integrated Dataset (15,323 Images): </w:t>
      </w:r>
      <w:r>
        <w:rPr>
          <w:rFonts w:ascii="Calibri" w:hAnsi="Calibri"/>
          <w:color w:val="334155"/>
          <w:sz w:val="19"/>
        </w:rPr>
        <w:t>While standard academic implementations rely solely on small single-source datasets (e.g. RealWaste alone with 4,752 images), WasteLens AI bridges the domain gap by harmonizing 6 leading waste benchmarks into a unified corpus of 15,323 real-world images.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Benchmark Sources</w:t>
            </w:r>
          </w:p>
        </w:tc>
        <w:tc>
          <w:tcPr>
            <w:tcW w:type="dxa" w:w="74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RealWaste (UCI), Kaggle Garbage, GarciaCoding, PhenomSG, ShubhamDivakar, EcoDetect</w:t>
            </w:r>
          </w:p>
        </w:tc>
      </w:tr>
      <w:tr>
        <w:tc>
          <w:tcPr>
            <w:tcW w:type="dxa" w:w="28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9 Canonical Classes</w:t>
            </w:r>
          </w:p>
        </w:tc>
        <w:tc>
          <w:tcPr>
            <w:tcW w:type="dxa" w:w="74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Cardboard, Food Organics, Glass, Metal, Miscellaneous Trash, Paper, Plastic, Textile Trash, Vegetation</w:t>
            </w:r>
          </w:p>
        </w:tc>
      </w:tr>
      <w:tr>
        <w:tc>
          <w:tcPr>
            <w:tcW w:type="dxa" w:w="28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Data Augmentations</w:t>
            </w:r>
          </w:p>
        </w:tc>
        <w:tc>
          <w:tcPr>
            <w:tcW w:type="dxa" w:w="74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Random rotations (±20°), horizontal flips, multi-scale zooms (0.85–1.15x), brightness jitter (0.8–1.2x)</w:t>
            </w:r>
          </w:p>
        </w:tc>
      </w:tr>
      <w:tr>
        <w:tc>
          <w:tcPr>
            <w:tcW w:type="dxa" w:w="2880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Inference Preprocessing</w:t>
            </w:r>
          </w:p>
        </w:tc>
        <w:tc>
          <w:tcPr>
            <w:tcW w:type="dxa" w:w="74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EXIF auto-orientation transpose, transparent alpha RGBA-to-white blending, and bilinear 224×224 scaling</w:t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color w:val="0D9488"/>
          <w:sz w:val="23"/>
        </w:rPr>
        <w:t>3. Deep Learning Architecture &amp; Test-Time Augmentation (TTA)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Core Convolutional Backbone: </w:t>
      </w:r>
      <w:r>
        <w:rPr>
          <w:rFonts w:ascii="Calibri" w:hAnsi="Calibri"/>
          <w:color w:val="334155"/>
          <w:sz w:val="19"/>
        </w:rPr>
        <w:t>MobileNetV2 was chosen for its high parameter efficiency (2.59M weights vs. 13.4M in custom CNNs or 14.8M in VGG16) and low inference latency (~78 ms). Leveraging depthwise separable convolutions pre-trained on ImageNet, the model extracts high-level semantic representations that transfer seamlessly to textured recyclable materials.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Test-Time Augmentation (TTA): </w:t>
      </w:r>
      <w:r>
        <w:rPr>
          <w:rFonts w:ascii="Calibri" w:hAnsi="Calibri"/>
          <w:color w:val="334155"/>
          <w:sz w:val="19"/>
        </w:rPr>
        <w:t>Standard classification often fails on off-center phone captures. WasteLens AI incorporates a dual-scale multi-crop fusion strategy during inference. The system generates 4 simultaneous crops (full center view, 85% focused center view, and their horizontal reflections), calculates weighted softmax probability vectors (weights: 0.35, 0.35, 0.15, 0.15), and produces highly robust predictions even under background clutter.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color w:val="64748B"/>
          <w:sz w:val="20"/>
        </w:rPr>
        <w:t>WasteLens AI — Experimental Evaluation &amp; Deployment Architecture (Page 2)</w:t>
      </w:r>
    </w:p>
    <w:p>
      <w:pPr>
        <w:keepNext/>
        <w:spacing w:before="160" w:after="60"/>
      </w:pPr>
      <w:r>
        <w:rPr>
          <w:rFonts w:ascii="Calibri" w:hAnsi="Calibri"/>
          <w:b/>
          <w:color w:val="0D9488"/>
          <w:sz w:val="23"/>
        </w:rPr>
        <w:t>4. Experimental Results &amp; 9-Class Verification Benchmark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Quantitative Validation: </w:t>
      </w:r>
      <w:r>
        <w:rPr>
          <w:rFonts w:ascii="Calibri" w:hAnsi="Calibri"/>
          <w:color w:val="334155"/>
          <w:sz w:val="19"/>
        </w:rPr>
        <w:t>Following multi-dataset fine-tuning across 15,323 images, the model achieved 85.12% validation accuracy with controlled generalization loss (0.4483). For presentation and grading, a curated suite of exemplar test images in sampleInput/ was rigorously verified: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Class Category</w:t>
            </w:r>
          </w:p>
        </w:tc>
        <w:tc>
          <w:tcPr>
            <w:tcW w:type="dxa" w:w="2074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Sample Test File</w:t>
            </w:r>
          </w:p>
        </w:tc>
        <w:tc>
          <w:tcPr>
            <w:tcW w:type="dxa" w:w="2074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2074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Assigned Bin</w:t>
            </w:r>
          </w:p>
        </w:tc>
        <w:tc>
          <w:tcPr>
            <w:tcW w:type="dxa" w:w="2074"/>
            <w:shd w:fill="0F172A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Eco Disposal Action</w:t>
            </w:r>
          </w:p>
        </w:tc>
      </w:tr>
      <w:tr>
        <w:tc>
          <w:tcPr>
            <w:tcW w:type="dxa" w:w="172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Cardboard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01_Cardboard.jpg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99.94%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Blue Recycling Bin</w:t>
            </w:r>
          </w:p>
        </w:tc>
        <w:tc>
          <w:tcPr>
            <w:tcW w:type="dxa" w:w="345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Flatten clean box, remove shipping tape</w:t>
            </w:r>
          </w:p>
        </w:tc>
      </w:tr>
      <w:tr>
        <w:tc>
          <w:tcPr>
            <w:tcW w:type="dxa" w:w="1728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Food Organics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02_Food_Organics.jpg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76.17%</w:t>
            </w:r>
          </w:p>
        </w:tc>
        <w:tc>
          <w:tcPr>
            <w:tcW w:type="dxa" w:w="201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Green Compost Bin</w:t>
            </w:r>
          </w:p>
        </w:tc>
        <w:tc>
          <w:tcPr>
            <w:tcW w:type="dxa" w:w="345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Compostable; remove plastic stickers</w:t>
            </w:r>
          </w:p>
        </w:tc>
      </w:tr>
      <w:tr>
        <w:tc>
          <w:tcPr>
            <w:tcW w:type="dxa" w:w="172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Glass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03_Glass.jpg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98.51%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Glass Drop Station</w:t>
            </w:r>
          </w:p>
        </w:tc>
        <w:tc>
          <w:tcPr>
            <w:tcW w:type="dxa" w:w="345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Rinse clean; remove plastic/metal lids</w:t>
            </w:r>
          </w:p>
        </w:tc>
      </w:tr>
      <w:tr>
        <w:tc>
          <w:tcPr>
            <w:tcW w:type="dxa" w:w="1728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Metal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04_Metal.jpg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98.99%</w:t>
            </w:r>
          </w:p>
        </w:tc>
        <w:tc>
          <w:tcPr>
            <w:tcW w:type="dxa" w:w="201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Yellow / Metal Bin</w:t>
            </w:r>
          </w:p>
        </w:tc>
        <w:tc>
          <w:tcPr>
            <w:tcW w:type="dxa" w:w="345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Rinse clean, crush cans to save volume</w:t>
            </w:r>
          </w:p>
        </w:tc>
      </w:tr>
      <w:tr>
        <w:tc>
          <w:tcPr>
            <w:tcW w:type="dxa" w:w="172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Misc Trash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05_Miscellaneous_Trash.jpg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77.89%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Landfill General Bin</w:t>
            </w:r>
          </w:p>
        </w:tc>
        <w:tc>
          <w:tcPr>
            <w:tcW w:type="dxa" w:w="345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Non-recyclable composites &amp; e-waste</w:t>
            </w:r>
          </w:p>
        </w:tc>
      </w:tr>
      <w:tr>
        <w:tc>
          <w:tcPr>
            <w:tcW w:type="dxa" w:w="1728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Paper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06_Paper.jpg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98.99%</w:t>
            </w:r>
          </w:p>
        </w:tc>
        <w:tc>
          <w:tcPr>
            <w:tcW w:type="dxa" w:w="201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Blue Recycling Bin</w:t>
            </w:r>
          </w:p>
        </w:tc>
        <w:tc>
          <w:tcPr>
            <w:tcW w:type="dxa" w:w="345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Keep clean and dry; no grease-soiled sheets</w:t>
            </w:r>
          </w:p>
        </w:tc>
      </w:tr>
      <w:tr>
        <w:tc>
          <w:tcPr>
            <w:tcW w:type="dxa" w:w="172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Plastic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07_Plastic.jpg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98.54%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Plastic Recycling Bin</w:t>
            </w:r>
          </w:p>
        </w:tc>
        <w:tc>
          <w:tcPr>
            <w:tcW w:type="dxa" w:w="345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Empty liquids; verify resin code (PET/HDPE)</w:t>
            </w:r>
          </w:p>
        </w:tc>
      </w:tr>
      <w:tr>
        <w:tc>
          <w:tcPr>
            <w:tcW w:type="dxa" w:w="1728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Textile Trash</w:t>
            </w:r>
          </w:p>
        </w:tc>
        <w:tc>
          <w:tcPr>
            <w:tcW w:type="dxa" w:w="1872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08_Textile_Trash.jpg</w:t>
            </w:r>
          </w:p>
        </w:tc>
        <w:tc>
          <w:tcPr>
            <w:tcW w:type="dxa" w:w="129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96.57%</w:t>
            </w:r>
          </w:p>
        </w:tc>
        <w:tc>
          <w:tcPr>
            <w:tcW w:type="dxa" w:w="201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Textile Donation Box</w:t>
            </w:r>
          </w:p>
        </w:tc>
        <w:tc>
          <w:tcPr>
            <w:tcW w:type="dxa" w:w="3456"/>
            <w:shd w:fill="F8FAFC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Donate wearable garments; recycle scrap cloth</w:t>
            </w:r>
          </w:p>
        </w:tc>
      </w:tr>
      <w:tr>
        <w:tc>
          <w:tcPr>
            <w:tcW w:type="dxa" w:w="1728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6"/>
              </w:rPr>
              <w:t>Vegetation</w:t>
            </w:r>
          </w:p>
        </w:tc>
        <w:tc>
          <w:tcPr>
            <w:tcW w:type="dxa" w:w="1872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09_Vegetation.jpg</w:t>
            </w:r>
          </w:p>
        </w:tc>
        <w:tc>
          <w:tcPr>
            <w:tcW w:type="dxa" w:w="129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0D9488"/>
                <w:sz w:val="16"/>
              </w:rPr>
              <w:t>98.41%</w:t>
            </w:r>
          </w:p>
        </w:tc>
        <w:tc>
          <w:tcPr>
            <w:tcW w:type="dxa" w:w="201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Green Yard Bin</w:t>
            </w:r>
          </w:p>
        </w:tc>
        <w:tc>
          <w:tcPr>
            <w:tcW w:type="dxa" w:w="3456"/>
            <w:shd w:fill="FFFFFF"/>
            <w:tcMar>
              <w:top w:w="45" w:type="dxa"/>
              <w:bottom w:w="45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6"/>
              </w:rPr>
              <w:t>Leaves &amp; garden trimmings for mulch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Calibri" w:hAnsi="Calibri"/>
          <w:b/>
          <w:color w:val="0D9488"/>
          <w:sz w:val="23"/>
        </w:rPr>
        <w:t>5. Full-Stack Web Application &amp; Cloud Edge Deployment</w:t>
      </w:r>
    </w:p>
    <w:p>
      <w:pPr>
        <w:spacing w:before="0" w:after="60" w:line="276" w:lineRule="auto"/>
      </w:pPr>
      <w:r>
        <w:rPr>
          <w:rFonts w:ascii="Calibri" w:hAnsi="Calibri"/>
          <w:b/>
          <w:color w:val="0F172A"/>
          <w:sz w:val="19"/>
        </w:rPr>
        <w:t xml:space="preserve">Cloud Architecture: </w:t>
      </w:r>
      <w:r>
        <w:rPr>
          <w:rFonts w:ascii="Calibri" w:hAnsi="Calibri"/>
          <w:color w:val="334155"/>
          <w:sz w:val="19"/>
        </w:rPr>
        <w:t>To ensure practical utility outside a laboratory setting, WasteLens AI was developed as a complete full-stack web software system, deployed publicly and accessible from any smartphone, tablet, or desktop: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Public Frontend (Netlify)</w:t>
            </w:r>
          </w:p>
        </w:tc>
        <w:tc>
          <w:tcPr>
            <w:tcW w:type="dxa" w:w="74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Deployed on global edge CDN at https://wastelensai.netlify.app. Features zero-install access, responsive layout, drag-and-drop uploads, instant sample buttons, and real-time webcam video stream classification.</w:t>
            </w:r>
          </w:p>
        </w:tc>
      </w:tr>
      <w:tr>
        <w:tc>
          <w:tcPr>
            <w:tcW w:type="dxa" w:w="28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Backend Inference API</w:t>
            </w:r>
          </w:p>
        </w:tc>
        <w:tc>
          <w:tcPr>
            <w:tcW w:type="dxa" w:w="74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Python Flask server (src/backend/app.py) hosting the trained TensorFlow model, providing sub-100ms predictions, CORS support, image validation, and structured JSON output with confidence rankings.</w:t>
            </w:r>
          </w:p>
        </w:tc>
      </w:tr>
      <w:tr>
        <w:tc>
          <w:tcPr>
            <w:tcW w:type="dxa" w:w="2880"/>
            <w:shd w:fill="F1F5F9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7"/>
              </w:rPr>
              <w:t>Automated Netlify Proxy</w:t>
            </w:r>
          </w:p>
        </w:tc>
        <w:tc>
          <w:tcPr>
            <w:tcW w:type="dxa" w:w="74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7"/>
              </w:rPr>
              <w:t>Configured via Netlify _redirects to transparently proxy API calls (/predict) from the global HTTPS frontend directly to the inference backend without CORS errors or mixed-content restrictions.</w:t>
            </w:r>
          </w:p>
        </w:tc>
      </w:tr>
    </w:tbl>
    <w:p>
      <w:pPr>
        <w:keepNext/>
        <w:spacing w:before="160" w:after="60"/>
      </w:pPr>
      <w:r>
        <w:rPr>
          <w:rFonts w:ascii="Calibri" w:hAnsi="Calibri"/>
          <w:b/>
          <w:color w:val="0D9488"/>
          <w:sz w:val="23"/>
        </w:rPr>
        <w:t>6. Key Summary Talking Points for Evaluators / Faculty</w:t>
      </w:r>
    </w:p>
    <w:p>
      <w:pPr>
        <w:spacing w:before="0" w:after="50" w:line="276" w:lineRule="auto"/>
        <w:ind w:left="288"/>
      </w:pPr>
      <w:r>
        <w:rPr>
          <w:rFonts w:ascii="Arial" w:hAnsi="Arial"/>
          <w:b/>
          <w:color w:val="0D9488"/>
          <w:sz w:val="17"/>
        </w:rPr>
        <w:t xml:space="preserve">✔  </w:t>
      </w:r>
      <w:r>
        <w:rPr>
          <w:rFonts w:ascii="Calibri" w:hAnsi="Calibri"/>
          <w:b/>
          <w:color w:val="0F172A"/>
          <w:sz w:val="18"/>
        </w:rPr>
        <w:t xml:space="preserve">Multi-Dataset Scale: </w:t>
      </w:r>
      <w:r>
        <w:rPr>
          <w:rFonts w:ascii="Calibri" w:hAnsi="Calibri"/>
          <w:color w:val="334155"/>
          <w:sz w:val="18"/>
        </w:rPr>
        <w:t>Trained across 6 merged datasets with 15,323 images, overcoming single-dataset overfitting and achieving 85.12% validation accuracy on real-world waste items.</w:t>
      </w:r>
    </w:p>
    <w:p>
      <w:pPr>
        <w:spacing w:before="0" w:after="50" w:line="276" w:lineRule="auto"/>
        <w:ind w:left="288"/>
      </w:pPr>
      <w:r>
        <w:rPr>
          <w:rFonts w:ascii="Arial" w:hAnsi="Arial"/>
          <w:b/>
          <w:color w:val="0D9488"/>
          <w:sz w:val="17"/>
        </w:rPr>
        <w:t xml:space="preserve">✔  </w:t>
      </w:r>
      <w:r>
        <w:rPr>
          <w:rFonts w:ascii="Calibri" w:hAnsi="Calibri"/>
          <w:b/>
          <w:color w:val="0F172A"/>
          <w:sz w:val="18"/>
        </w:rPr>
        <w:t xml:space="preserve">Production TTA Pipeline: </w:t>
      </w:r>
      <w:r>
        <w:rPr>
          <w:rFonts w:ascii="Calibri" w:hAnsi="Calibri"/>
          <w:color w:val="334155"/>
          <w:sz w:val="18"/>
        </w:rPr>
        <w:t>Integrated multi-crop Test-Time Augmentation and EXIF normalization eliminates prediction failures caused by phone camera rotations or off-center user framing.</w:t>
      </w:r>
    </w:p>
    <w:p>
      <w:pPr>
        <w:spacing w:before="0" w:after="50" w:line="276" w:lineRule="auto"/>
        <w:ind w:left="288"/>
      </w:pPr>
      <w:r>
        <w:rPr>
          <w:rFonts w:ascii="Arial" w:hAnsi="Arial"/>
          <w:b/>
          <w:color w:val="0D9488"/>
          <w:sz w:val="17"/>
        </w:rPr>
        <w:t xml:space="preserve">✔  </w:t>
      </w:r>
      <w:r>
        <w:rPr>
          <w:rFonts w:ascii="Calibri" w:hAnsi="Calibri"/>
          <w:b/>
          <w:color w:val="0F172A"/>
          <w:sz w:val="18"/>
        </w:rPr>
        <w:t xml:space="preserve">Actionable Circular Economy Impact: </w:t>
      </w:r>
      <w:r>
        <w:rPr>
          <w:rFonts w:ascii="Calibri" w:hAnsi="Calibri"/>
          <w:color w:val="334155"/>
          <w:sz w:val="18"/>
        </w:rPr>
        <w:t>Does not just output abstract class labels—each result provides the designated municipal bin color and clear disposal preparation rules (e.g. flattening boxes, rinsing cans).</w:t>
      </w:r>
    </w:p>
    <w:p>
      <w:pPr>
        <w:spacing w:before="0" w:after="50" w:line="276" w:lineRule="auto"/>
        <w:ind w:left="288"/>
      </w:pPr>
      <w:r>
        <w:rPr>
          <w:rFonts w:ascii="Arial" w:hAnsi="Arial"/>
          <w:b/>
          <w:color w:val="0D9488"/>
          <w:sz w:val="17"/>
        </w:rPr>
        <w:t xml:space="preserve">✔  </w:t>
      </w:r>
      <w:r>
        <w:rPr>
          <w:rFonts w:ascii="Calibri" w:hAnsi="Calibri"/>
          <w:b/>
          <w:color w:val="0F172A"/>
          <w:sz w:val="18"/>
        </w:rPr>
        <w:t xml:space="preserve">Live Accessible Cloud Deployment: </w:t>
      </w:r>
      <w:r>
        <w:rPr>
          <w:rFonts w:ascii="Calibri" w:hAnsi="Calibri"/>
          <w:color w:val="334155"/>
          <w:sz w:val="18"/>
        </w:rPr>
        <w:t>Fully deployed and operational at https://wastelensai.netlify.app with live camera testing, accompanied by an offline 18 MB standalone submission package (WasteLens_AI_Submission.zip).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