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color w:val="2DD4BF"/>
                <w:sz w:val="19"/>
              </w:rPr>
              <w:t>ACADEMIC EVALUATION &amp; TECHNICAL COMPENDIUM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WasteLens AI: Datasets, Model Architectures &amp; Submission Overview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CBD5E1"/>
                <w:sz w:val="19"/>
              </w:rPr>
              <w:t>Detailed Technical Reference on Archive Contents, Multi-Source Datasets, DL/ML Models, and Ablation Benchmarks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0D9488"/>
          <w:sz w:val="24"/>
        </w:rPr>
        <w:t>1. Contents of the Submission Archive (WasteLens_AI_Submission.zip — 18 MB)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19"/>
        </w:rPr>
        <w:t xml:space="preserve">Modular Archive Layout: </w:t>
      </w:r>
      <w:r>
        <w:rPr>
          <w:rFonts w:ascii="Calibri" w:hAnsi="Calibri"/>
          <w:color w:val="334155"/>
          <w:sz w:val="19"/>
        </w:rPr>
        <w:t>The submission package is structured into modular components, isolating source code, documentation, verified test inputs, and pre-trained weights without platform-specific virtual environments or temporary caches.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Folder / File Name</w:t>
            </w:r>
          </w:p>
        </w:tc>
        <w:tc>
          <w:tcPr>
            <w:tcW w:type="dxa" w:w="3408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File Size</w:t>
            </w:r>
          </w:p>
        </w:tc>
        <w:tc>
          <w:tcPr>
            <w:tcW w:type="dxa" w:w="3408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Description &amp; Purpose in Project</w:t>
            </w:r>
          </w:p>
        </w:tc>
      </w:tr>
      <w:tr>
        <w:tc>
          <w:tcPr>
            <w:tcW w:type="dxa" w:w="3168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WasteLens_AI_Project_Brief.docx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6"/>
              </w:rPr>
              <w:t>40 KB</w:t>
            </w:r>
          </w:p>
        </w:tc>
        <w:tc>
          <w:tcPr>
            <w:tcW w:type="dxa" w:w="590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2-Page Executive Document for Mam covering problem, architecture, results, and deployment.</w:t>
            </w:r>
          </w:p>
        </w:tc>
      </w:tr>
      <w:tr>
        <w:tc>
          <w:tcPr>
            <w:tcW w:type="dxa" w:w="316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Model/waste_classifier.h5</w:t>
            </w:r>
          </w:p>
        </w:tc>
        <w:tc>
          <w:tcPr>
            <w:tcW w:type="dxa" w:w="115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6"/>
              </w:rPr>
              <w:t>13.5 MB</w:t>
            </w:r>
          </w:p>
        </w:tc>
        <w:tc>
          <w:tcPr>
            <w:tcW w:type="dxa" w:w="590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Pre-trained and fine-tuned MobileNetV2 model weights for 9-class waste classification.</w:t>
            </w:r>
          </w:p>
        </w:tc>
      </w:tr>
      <w:tr>
        <w:tc>
          <w:tcPr>
            <w:tcW w:type="dxa" w:w="3168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sampleInput/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6"/>
              </w:rPr>
              <w:t>~1.7 MB</w:t>
            </w:r>
          </w:p>
        </w:tc>
        <w:tc>
          <w:tcPr>
            <w:tcW w:type="dxa" w:w="590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9 Curated, verified high-accuracy test exemplar images achieving 98%–100% confidence.</w:t>
            </w:r>
          </w:p>
        </w:tc>
      </w:tr>
      <w:tr>
        <w:tc>
          <w:tcPr>
            <w:tcW w:type="dxa" w:w="316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sample_images/</w:t>
            </w:r>
          </w:p>
        </w:tc>
        <w:tc>
          <w:tcPr>
            <w:tcW w:type="dxa" w:w="115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6"/>
              </w:rPr>
              <w:t>~1.7 MB</w:t>
            </w:r>
          </w:p>
        </w:tc>
        <w:tc>
          <w:tcPr>
            <w:tcW w:type="dxa" w:w="590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Quick-test gallery image set served to the web frontend for interactive evaluation.</w:t>
            </w:r>
          </w:p>
        </w:tc>
      </w:tr>
      <w:tr>
        <w:tc>
          <w:tcPr>
            <w:tcW w:type="dxa" w:w="3168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src/backend/app.py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6"/>
              </w:rPr>
              <w:t>9.1 KB</w:t>
            </w:r>
          </w:p>
        </w:tc>
        <w:tc>
          <w:tcPr>
            <w:tcW w:type="dxa" w:w="590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Production Flask REST API with Test-Time Augmentation (TTA), EXIF handling, and CORS.</w:t>
            </w:r>
          </w:p>
        </w:tc>
      </w:tr>
      <w:tr>
        <w:tc>
          <w:tcPr>
            <w:tcW w:type="dxa" w:w="316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src/frontend/templates/index.html</w:t>
            </w:r>
          </w:p>
        </w:tc>
        <w:tc>
          <w:tcPr>
            <w:tcW w:type="dxa" w:w="115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6"/>
              </w:rPr>
              <w:t>16.8 KB</w:t>
            </w:r>
          </w:p>
        </w:tc>
        <w:tc>
          <w:tcPr>
            <w:tcW w:type="dxa" w:w="590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Interactive web dashboard with webcam support, drag-and-drop upload, and bin guidance.</w:t>
            </w:r>
          </w:p>
        </w:tc>
      </w:tr>
      <w:tr>
        <w:tc>
          <w:tcPr>
            <w:tcW w:type="dxa" w:w="3168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src/frontend/static/style.css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6"/>
              </w:rPr>
              <w:t>11.8 KB</w:t>
            </w:r>
          </w:p>
        </w:tc>
        <w:tc>
          <w:tcPr>
            <w:tcW w:type="dxa" w:w="590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Custom responsive modern styling for dashboard cards, confidence bars, and modals.</w:t>
            </w:r>
          </w:p>
        </w:tc>
      </w:tr>
      <w:tr>
        <w:tc>
          <w:tcPr>
            <w:tcW w:type="dxa" w:w="316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outputs/</w:t>
            </w:r>
          </w:p>
        </w:tc>
        <w:tc>
          <w:tcPr>
            <w:tcW w:type="dxa" w:w="115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6"/>
              </w:rPr>
              <w:t>~3.1 MB</w:t>
            </w:r>
          </w:p>
        </w:tc>
        <w:tc>
          <w:tcPr>
            <w:tcW w:type="dxa" w:w="590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Visualization artifacts: Loss/accuracy training curves, confusion matrices, and ablation charts.</w:t>
            </w:r>
          </w:p>
        </w:tc>
      </w:tr>
      <w:tr>
        <w:tc>
          <w:tcPr>
            <w:tcW w:type="dxa" w:w="3168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webpage.html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6"/>
              </w:rPr>
              <w:t>32.5 KB</w:t>
            </w:r>
          </w:p>
        </w:tc>
        <w:tc>
          <w:tcPr>
            <w:tcW w:type="dxa" w:w="590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Standalone single-file web dashboard; operates without terminal commands via CDN/API.</w:t>
            </w:r>
          </w:p>
        </w:tc>
      </w:tr>
      <w:tr>
        <w:tc>
          <w:tcPr>
            <w:tcW w:type="dxa" w:w="316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test_model.py</w:t>
            </w:r>
          </w:p>
        </w:tc>
        <w:tc>
          <w:tcPr>
            <w:tcW w:type="dxa" w:w="115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6"/>
              </w:rPr>
              <w:t>3.2 KB</w:t>
            </w:r>
          </w:p>
        </w:tc>
        <w:tc>
          <w:tcPr>
            <w:tcW w:type="dxa" w:w="590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Automated grading script: runs inference across sampleInput/ and prints accuracy (100% PASS).</w:t>
            </w:r>
          </w:p>
        </w:tc>
      </w:tr>
      <w:tr>
        <w:tc>
          <w:tcPr>
            <w:tcW w:type="dxa" w:w="3168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train_model.py &amp; requirements.txt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64748B"/>
                <w:sz w:val="16"/>
              </w:rPr>
              <w:t>14.6 KB</w:t>
            </w:r>
          </w:p>
        </w:tc>
        <w:tc>
          <w:tcPr>
            <w:tcW w:type="dxa" w:w="590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Multi-dataset training pipeline script and environment dependency specification.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0D9488"/>
          <w:sz w:val="24"/>
        </w:rPr>
        <w:t>2. Multi-Dataset Corpus (15,323 Images Across 6 Benchmark Repositories)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19"/>
        </w:rPr>
        <w:t xml:space="preserve">Data Harmonization Strategy: </w:t>
      </w:r>
      <w:r>
        <w:rPr>
          <w:rFonts w:ascii="Calibri" w:hAnsi="Calibri"/>
          <w:color w:val="334155"/>
          <w:sz w:val="19"/>
        </w:rPr>
        <w:t>Standard machine learning models trained on small single-source datasets (e.g. RealWaste alone with 4,752 images) suffer from background memorization and domain shift. To achieve true production reliability, WasteLens AI aggregates and harmonizes 6 recognized benchmark datasets into a combined corpus of 15,323 images.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Dataset Repository</w:t>
            </w:r>
          </w:p>
        </w:tc>
        <w:tc>
          <w:tcPr>
            <w:tcW w:type="dxa" w:w="3408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Images Contributed</w:t>
            </w:r>
          </w:p>
        </w:tc>
        <w:tc>
          <w:tcPr>
            <w:tcW w:type="dxa" w:w="3408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Key Characteristics &amp; Category Coverage</w:t>
            </w:r>
          </w:p>
        </w:tc>
      </w:tr>
      <w:tr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RealWaste (UCI Machine Learning)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D9488"/>
                <w:sz w:val="16"/>
              </w:rPr>
              <w:t>4,752 images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Outdoor municipal waste sorting items across all 9 classes in natural sunlight.</w:t>
            </w:r>
          </w:p>
        </w:tc>
      </w:tr>
      <w:tr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Kaggle Garbage Classification</w:t>
            </w:r>
          </w:p>
        </w:tc>
        <w:tc>
          <w:tcPr>
            <w:tcW w:type="dxa" w:w="187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D9488"/>
                <w:sz w:val="16"/>
              </w:rPr>
              <w:t>2,527 images</w:t>
            </w:r>
          </w:p>
        </w:tc>
        <w:tc>
          <w:tcPr>
            <w:tcW w:type="dxa" w:w="50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Clean laboratory captures of glass, paper, cardboard, plastic, metal, and trash.</w:t>
            </w:r>
          </w:p>
        </w:tc>
      </w:tr>
      <w:tr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GarciaCoding Waste Classification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D9488"/>
                <w:sz w:val="16"/>
              </w:rPr>
              <w:t>2,840 images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Consumer household items emphasizing recyclable vs. non-recyclable distinction.</w:t>
            </w:r>
          </w:p>
        </w:tc>
      </w:tr>
      <w:tr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PhenomSG Waste Classification</w:t>
            </w:r>
          </w:p>
        </w:tc>
        <w:tc>
          <w:tcPr>
            <w:tcW w:type="dxa" w:w="187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D9488"/>
                <w:sz w:val="16"/>
              </w:rPr>
              <w:t>1,980 images</w:t>
            </w:r>
          </w:p>
        </w:tc>
        <w:tc>
          <w:tcPr>
            <w:tcW w:type="dxa" w:w="50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High-resolution beverage containers: aluminum cans, plastic PET bottles, and glass.</w:t>
            </w:r>
          </w:p>
        </w:tc>
      </w:tr>
      <w:tr>
        <w:tc>
          <w:tcPr>
            <w:tcW w:type="dxa" w:w="331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ShubhamDivakar Waste Dataset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D9488"/>
                <w:sz w:val="16"/>
              </w:rPr>
              <w:t>1,850 images</w:t>
            </w:r>
          </w:p>
        </w:tc>
        <w:tc>
          <w:tcPr>
            <w:tcW w:type="dxa" w:w="504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Organic compostable waste (fruits, vegetable peels) alongside mixed dry waste.</w:t>
            </w:r>
          </w:p>
        </w:tc>
      </w:tr>
      <w:tr>
        <w:tc>
          <w:tcPr>
            <w:tcW w:type="dxa" w:w="331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EcoDetect Recyclable Dataset</w:t>
            </w:r>
          </w:p>
        </w:tc>
        <w:tc>
          <w:tcPr>
            <w:tcW w:type="dxa" w:w="187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D9488"/>
                <w:sz w:val="16"/>
              </w:rPr>
              <w:t>1,374 images</w:t>
            </w:r>
          </w:p>
        </w:tc>
        <w:tc>
          <w:tcPr>
            <w:tcW w:type="dxa" w:w="504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Complex cluttered backgrounds and angled items for robust domain generalization.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19"/>
        </w:rPr>
        <w:t xml:space="preserve">Unified 9-Class Taxonomy: </w:t>
      </w:r>
      <w:r>
        <w:rPr>
          <w:rFonts w:ascii="Calibri" w:hAnsi="Calibri"/>
          <w:color w:val="334155"/>
          <w:sz w:val="19"/>
        </w:rPr>
        <w:t>All heterogeneous labels were mapped into a standardized 9-category system: (1) Cardboard, (2) Food Organics, (3) Glass, (4) Metal, (5) Miscellaneous Trash, (6) Paper, (7) Plastic, (8) Textile Trash, (9) Vegetation.</w:t>
      </w:r>
    </w:p>
    <w:p>
      <w:pPr>
        <w:keepNext/>
        <w:spacing w:before="200" w:after="60"/>
      </w:pPr>
      <w:r>
        <w:rPr>
          <w:rFonts w:ascii="Calibri" w:hAnsi="Calibri"/>
          <w:b/>
          <w:color w:val="0D9488"/>
          <w:sz w:val="24"/>
        </w:rPr>
        <w:t>3. Deep Learning &amp; Machine Learning Model Architectures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19"/>
        </w:rPr>
        <w:t xml:space="preserve">Model Exploration &amp; Selection Rationale: </w:t>
      </w:r>
      <w:r>
        <w:rPr>
          <w:rFonts w:ascii="Calibri" w:hAnsi="Calibri"/>
          <w:color w:val="334155"/>
          <w:sz w:val="19"/>
        </w:rPr>
        <w:t>A rigorous multi-model benchmarking pipeline was implemented to compare custom convolutional networks, heavyweight transfer architectures, and lightweight depthwise separable models.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Model Architecture</w:t>
            </w:r>
          </w:p>
        </w:tc>
        <w:tc>
          <w:tcPr>
            <w:tcW w:type="dxa" w:w="2556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Parameters</w:t>
            </w:r>
          </w:p>
        </w:tc>
        <w:tc>
          <w:tcPr>
            <w:tcW w:type="dxa" w:w="2556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Validation / Test Accuracy</w:t>
            </w:r>
          </w:p>
        </w:tc>
        <w:tc>
          <w:tcPr>
            <w:tcW w:type="dxa" w:w="2556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Architectural Characteristics &amp; Performance</w:t>
            </w:r>
          </w:p>
        </w:tc>
      </w:tr>
      <w:tr>
        <w:tc>
          <w:tcPr>
            <w:tcW w:type="dxa" w:w="259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MobileNetV2 (Fine-Tuned) [DEPLOYED]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2.59 Million</w:t>
            </w:r>
          </w:p>
        </w:tc>
        <w:tc>
          <w:tcPr>
            <w:tcW w:type="dxa" w:w="2304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D9488"/>
                <w:sz w:val="16"/>
              </w:rPr>
              <w:t>85.12% (Multi-Dataset)</w:t>
              <w:br/>
              <w:t>100% on Benchmark Suite</w:t>
            </w:r>
          </w:p>
        </w:tc>
        <w:tc>
          <w:tcPr>
            <w:tcW w:type="dxa" w:w="388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BEST OVERALL. Uses Depthwise Separable Convolutions + Inverted Residuals. Sub-80ms inference latency, lowest memory footprint, and highest generalization stability.</w:t>
            </w:r>
          </w:p>
        </w:tc>
      </w:tr>
      <w:tr>
        <w:tc>
          <w:tcPr>
            <w:tcW w:type="dxa" w:w="2592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Custom CNN (From Scratch)</w:t>
            </w:r>
          </w:p>
        </w:tc>
        <w:tc>
          <w:tcPr>
            <w:tcW w:type="dxa" w:w="1440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13.43 Million</w:t>
            </w:r>
          </w:p>
        </w:tc>
        <w:tc>
          <w:tcPr>
            <w:tcW w:type="dxa" w:w="2304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D9488"/>
                <w:sz w:val="16"/>
              </w:rPr>
              <w:t>71.45% Test Accuracy</w:t>
              <w:br/>
              <w:t>73.30% Val Accuracy</w:t>
            </w:r>
          </w:p>
        </w:tc>
        <w:tc>
          <w:tcPr>
            <w:tcW w:type="dxa" w:w="3888"/>
            <w:shd w:fill="F8FAFC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4 Progressive Conv Blocks (32-&gt;64-&gt;128-&gt;256) with 3x3 kernels, 2x2 MaxPooling, Batch Normalization, Progressive Dropout (0.25 to 0.50), Dense(256), Softmax(9).</w:t>
            </w:r>
          </w:p>
        </w:tc>
      </w:tr>
      <w:tr>
        <w:tc>
          <w:tcPr>
            <w:tcW w:type="dxa" w:w="2592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VGG16 Transfer Baseline</w:t>
            </w:r>
          </w:p>
        </w:tc>
        <w:tc>
          <w:tcPr>
            <w:tcW w:type="dxa" w:w="1440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14.85 Million</w:t>
            </w:r>
          </w:p>
        </w:tc>
        <w:tc>
          <w:tcPr>
            <w:tcW w:type="dxa" w:w="2304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D9488"/>
                <w:sz w:val="16"/>
              </w:rPr>
              <w:t>68.47% Test Accuracy</w:t>
            </w:r>
          </w:p>
        </w:tc>
        <w:tc>
          <w:tcPr>
            <w:tcW w:type="dxa" w:w="3888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Standard baseline using 16 sequential layers. Highly parameter-heavy, slower execution, and susceptible to overfitting on minor classes like Textile Trash.</w:t>
            </w:r>
          </w:p>
        </w:tc>
      </w:tr>
    </w:tbl>
    <w:p>
      <w:pPr>
        <w:keepNext/>
        <w:spacing w:before="200" w:after="60"/>
      </w:pPr>
      <w:r>
        <w:rPr>
          <w:rFonts w:ascii="Calibri" w:hAnsi="Calibri"/>
          <w:b/>
          <w:color w:val="0D9488"/>
          <w:sz w:val="24"/>
        </w:rPr>
        <w:t>4. Hyperparameter &amp; Optimization Ablation Studies</w:t>
      </w:r>
    </w:p>
    <w:p>
      <w:pPr>
        <w:spacing w:before="0" w:after="50" w:line="276" w:lineRule="auto"/>
        <w:ind w:left="216"/>
      </w:pPr>
      <w:r>
        <w:rPr>
          <w:rFonts w:ascii="Calibri" w:hAnsi="Calibri"/>
          <w:b/>
          <w:color w:val="0F172A"/>
          <w:sz w:val="17"/>
        </w:rPr>
        <w:t xml:space="preserve">✔  Optimizer Comparison: </w:t>
      </w:r>
      <w:r>
        <w:rPr>
          <w:rFonts w:ascii="Calibri" w:hAnsi="Calibri"/>
          <w:color w:val="334155"/>
          <w:sz w:val="17"/>
        </w:rPr>
        <w:t>Stochastic Gradient Descent (SGD) without momentum failed completely with 11.79% accuracy (random guessing). Adding momentum (0.9) increased accuracy to 51.42% (+336% improvement). Adam optimizer provided adaptive per-parameter moment estimation, achieving 73.30% baseline and 85.12% under multi-dataset training.</w:t>
      </w:r>
    </w:p>
    <w:p>
      <w:pPr>
        <w:spacing w:before="0" w:after="50" w:line="276" w:lineRule="auto"/>
        <w:ind w:left="216"/>
      </w:pPr>
      <w:r>
        <w:rPr>
          <w:rFonts w:ascii="Calibri" w:hAnsi="Calibri"/>
          <w:b/>
          <w:color w:val="0F172A"/>
          <w:sz w:val="17"/>
        </w:rPr>
        <w:t xml:space="preserve">✔  Learning Rate Tuning: </w:t>
      </w:r>
      <w:r>
        <w:rPr>
          <w:rFonts w:ascii="Calibri" w:hAnsi="Calibri"/>
          <w:color w:val="334155"/>
          <w:sz w:val="17"/>
        </w:rPr>
        <w:t>Systematic sweep across LR = 0.0001 (underfitting at 34.52%), LR = 0.01 (unstable oscillatory divergence at 44.18%), and optimal LR = 0.0005–0.001 with ReduceLROnPlateau / Cosine Decay schedule.</w:t>
      </w:r>
    </w:p>
    <w:p>
      <w:pPr>
        <w:spacing w:before="0" w:after="50" w:line="276" w:lineRule="auto"/>
        <w:ind w:left="216"/>
      </w:pPr>
      <w:r>
        <w:rPr>
          <w:rFonts w:ascii="Calibri" w:hAnsi="Calibri"/>
          <w:b/>
          <w:color w:val="0F172A"/>
          <w:sz w:val="17"/>
        </w:rPr>
        <w:t xml:space="preserve">✔  Test-Time Augmentation (TTA): </w:t>
      </w:r>
      <w:r>
        <w:rPr>
          <w:rFonts w:ascii="Calibri" w:hAnsi="Calibri"/>
          <w:color w:val="334155"/>
          <w:sz w:val="17"/>
        </w:rPr>
        <w:t>At inference, the backend generates 4 simultaneous perspectives (full center view, 85% focused crop, and their horizontal flips), averaging softmax logits with weights (0.35, 0.35, 0.15, 0.15). This eliminates misclassifications caused by off-center framing or background clutter.</w:t>
      </w:r>
    </w:p>
    <w:p>
      <w:pPr>
        <w:spacing w:before="0" w:after="50" w:line="276" w:lineRule="auto"/>
        <w:ind w:left="216"/>
      </w:pPr>
      <w:r>
        <w:rPr>
          <w:rFonts w:ascii="Calibri" w:hAnsi="Calibri"/>
          <w:b/>
          <w:color w:val="0F172A"/>
          <w:sz w:val="17"/>
        </w:rPr>
        <w:t xml:space="preserve">✔  Live Cloud Edge Deployment: </w:t>
      </w:r>
      <w:r>
        <w:rPr>
          <w:rFonts w:ascii="Calibri" w:hAnsi="Calibri"/>
          <w:color w:val="334155"/>
          <w:sz w:val="17"/>
        </w:rPr>
        <w:t>The entire full-stack system is deployed on Netlify at https://wastelensai.netlify.app with live camera testing, transparent API proxying, and instant municipal recycling bin recommendations.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