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3E" w:val="clear"/>
            <w:tcMar>
              <w:top w:type="dxa" w:w="400"/>
              <w:left w:type="dxa" w:w="400"/>
              <w:bottom w:type="dxa" w:w="400"/>
              <w:right w:type="dxa" w:w="400"/>
            </w:tcMar>
          </w:tcPr>
          <w:p>
            <w:pPr>
              <w:spacing w:after="120"/>
              <w:jc w:val="center"/>
            </w:pPr>
            <w:r>
              <w:rPr>
                <w:rFonts w:ascii="Arial" w:cs="Arial" w:eastAsia="Arial" w:hAnsi="Arial"/>
                <w:b/>
                <w:bCs/>
                <w:color w:val="FFFFFF"/>
                <w:sz w:val="36"/>
                <w:szCs w:val="36"/>
              </w:rPr>
              <w:t xml:space="preserve">AGRICULTURAL INTELLIGENCE SYSTEM — INDIA</w:t>
            </w:r>
          </w:p>
          <w:p>
            <w:pPr>
              <w:jc w:val="center"/>
            </w:pPr>
            <w:r>
              <w:rPr>
                <w:rFonts w:ascii="Arial" w:cs="Arial" w:eastAsia="Arial" w:hAnsi="Arial"/>
                <w:i/>
                <w:iCs/>
                <w:color w:val="AADDBB"/>
                <w:sz w:val="24"/>
                <w:szCs w:val="24"/>
              </w:rPr>
              <w:t xml:space="preserve">Business Requirements &amp; Analytical Scope Document</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Project Title</w:t>
            </w:r>
          </w:p>
        </w:tc>
        <w:tc>
          <w:tcPr>
            <w:tcW w:type="dxa" w:w="68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Agricultural Intelligence System for India (AGRI-IS)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 — Initial Scope</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Analytical Lead</w:t>
            </w:r>
          </w:p>
        </w:tc>
        <w:tc>
          <w:tcPr>
            <w:tcW w:type="dxa" w:w="68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 Strategy &amp; Solutions Division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Primary Stakeholder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Commodity Procurement Manager, Mid-to-Large Agri-FMCG / Trading Entity</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Data Sources</w:t>
            </w:r>
          </w:p>
        </w:tc>
        <w:tc>
          <w:tcPr>
            <w:tcW w:type="dxa" w:w="68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DA&amp;FW (Production) · Agmarknet (Mandi Prices) · IMD (Rainfall) · APEDA (Exports)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Document Purpose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Defines the business problem, stakeholder persona, analytical questions, assumptions, and scope boundaries for the AGRI-IS platform.</w:t>
            </w:r>
          </w:p>
        </w:tc>
      </w:tr>
    </w:tbl>
    <w:p>
      <w:r>
        <w:rPr>
          <w:sz w:val="44"/>
          <w:szCs w:val="44"/>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1. Business Problem Statement</w:t>
      </w:r>
    </w:p>
    <w:p>
      <w:pPr>
        <w:spacing w:before="60" w:after="80"/>
      </w:pPr>
      <w:r>
        <w:rPr>
          <w:rFonts w:ascii="Arial" w:cs="Arial" w:eastAsia="Arial" w:hAnsi="Arial"/>
          <w:color w:val="1A1A1A"/>
          <w:sz w:val="22"/>
          <w:szCs w:val="22"/>
        </w:rPr>
        <w:t xml:space="preserve">India's agricultural commodity procurement landscape presents three compounding structural risks for any mid-to-large scale buyer operating across the food processing, export, or institutional supply chain:</w:t>
      </w:r>
    </w:p>
    <w:p>
      <w:r>
        <w:rPr>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Risk 1 — Supply Uncertainty: </w:t>
      </w:r>
      <w:r>
        <w:rPr>
          <w:rFonts w:ascii="Arial" w:cs="Arial" w:eastAsia="Arial" w:hAnsi="Arial"/>
          <w:color w:val="1A1A1A"/>
          <w:sz w:val="22"/>
          <w:szCs w:val="22"/>
        </w:rPr>
        <w:t xml:space="preserve">Yield volatility creates unpredictable raw material availability across seasons, forcing reactive spot purchases at peak prices.</w:t>
      </w:r>
    </w:p>
    <w:p>
      <w:pPr>
        <w:pStyle w:val="ListParagraph"/>
        <w:numPr>
          <w:ilvl w:val="0"/>
          <w:numId w:val="2"/>
        </w:numPr>
        <w:spacing w:before="60" w:after="60"/>
      </w:pPr>
      <w:r>
        <w:rPr>
          <w:rFonts w:ascii="Arial" w:cs="Arial" w:eastAsia="Arial" w:hAnsi="Arial"/>
          <w:b/>
          <w:bCs/>
          <w:color w:val="1A1A1A"/>
          <w:sz w:val="22"/>
          <w:szCs w:val="22"/>
        </w:rPr>
        <w:t xml:space="preserve">Risk 2 — Price Inefficiency: </w:t>
      </w:r>
      <w:r>
        <w:rPr>
          <w:rFonts w:ascii="Arial" w:cs="Arial" w:eastAsia="Arial" w:hAnsi="Arial"/>
          <w:color w:val="1A1A1A"/>
          <w:sz w:val="22"/>
          <w:szCs w:val="22"/>
        </w:rPr>
        <w:t xml:space="preserve">Market fragmentation across 7,000+ mandis means that identical commodities trade at price disparities of 30–60%, systematically disadvantaging buyers without real-time price intelligence.</w:t>
      </w:r>
    </w:p>
    <w:p>
      <w:pPr>
        <w:pStyle w:val="ListParagraph"/>
        <w:numPr>
          <w:ilvl w:val="0"/>
          <w:numId w:val="2"/>
        </w:numPr>
        <w:spacing w:before="60" w:after="60"/>
      </w:pPr>
      <w:r>
        <w:rPr>
          <w:rFonts w:ascii="Arial" w:cs="Arial" w:eastAsia="Arial" w:hAnsi="Arial"/>
          <w:b/>
          <w:bCs/>
          <w:color w:val="1A1A1A"/>
          <w:sz w:val="22"/>
          <w:szCs w:val="22"/>
        </w:rPr>
        <w:t xml:space="preserve">Risk 3 — Value Chain Underdevelopment: </w:t>
      </w:r>
      <w:r>
        <w:rPr>
          <w:rFonts w:ascii="Arial" w:cs="Arial" w:eastAsia="Arial" w:hAnsi="Arial"/>
          <w:color w:val="1A1A1A"/>
          <w:sz w:val="22"/>
          <w:szCs w:val="22"/>
        </w:rPr>
        <w:t xml:space="preserve">India's export basket is concentrated in low-value raw commodities, leaving significant value-add revenue unrealised and creating strategic opportunity for processors.</w:t>
      </w:r>
    </w:p>
    <w:p>
      <w:r>
        <w:rPr>
          <w:sz w:val="22"/>
          <w:szCs w:val="22"/>
        </w:rPr>
        <w:t xml:space="preserve"/>
      </w:r>
    </w:p>
    <w:p>
      <w:pPr>
        <w:spacing w:before="60" w:after="80"/>
      </w:pPr>
      <w:r>
        <w:rPr>
          <w:rFonts w:ascii="Arial" w:cs="Arial" w:eastAsia="Arial" w:hAnsi="Arial"/>
          <w:color w:val="1A1A1A"/>
          <w:sz w:val="22"/>
          <w:szCs w:val="22"/>
        </w:rPr>
        <w:t xml:space="preserve">The AGRI-IS platform was built to quantify each risk dimension at crop level, identify procurement windows and geographies that reduce cost and volatility, and surface strategic investment opportunities in the transition from raw to processed agricultural exports.</w:t>
      </w:r>
    </w:p>
    <w:p>
      <w:r>
        <w:rPr>
          <w:sz w:val="22"/>
          <w:szCs w:val="22"/>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2. Stakeholder Persona &amp; Primary Decision</w:t>
      </w:r>
    </w:p>
    <w:p>
      <w:pPr>
        <w:spacing w:before="60" w:after="80"/>
      </w:pPr>
      <w:r>
        <w:rPr>
          <w:rFonts w:ascii="Arial" w:cs="Arial" w:eastAsia="Arial" w:hAnsi="Arial"/>
          <w:color w:val="1A1A1A"/>
          <w:sz w:val="22"/>
          <w:szCs w:val="22"/>
        </w:rPr>
        <w:t xml:space="preserve">All analytical choices in this system are anchored to the following primary user persona: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PERSONA</w:t>
            </w:r>
          </w:p>
        </w:tc>
        <w:tc>
          <w:tcPr>
            <w:tcW w:type="dxa" w:w="468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PRIMARY DECISION CONTEXT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Commodity Procurement Manager at a mid-to-large Indian FMCG or agri-trading company. Responsible for sourcing 5–15 key agricultural inputs across multiple states and seasons. Annual procurement budget: ₹50 crore–₹500 crore.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Decides: (1) which crops to contract-farm vs spot-purchase, (2) which states/mandis to source from, (3) how to hedge against monsoon-driven yield shocks, (4) where to invest in processing to reduce import dependency.</w:t>
            </w:r>
          </w:p>
        </w:tc>
      </w:tr>
    </w:tbl>
    <w:p>
      <w:r>
        <w:rPr>
          <w:sz w:val="22"/>
          <w:szCs w:val="22"/>
        </w:rPr>
        <w:t xml:space="preserve"/>
      </w:r>
    </w:p>
    <w:p>
      <w:pPr>
        <w:pStyle w:val="Heading2"/>
        <w:spacing w:before="280" w:after="100"/>
      </w:pPr>
      <w:r>
        <w:rPr>
          <w:rFonts w:ascii="Arial" w:cs="Arial" w:eastAsia="Arial" w:hAnsi="Arial"/>
          <w:b/>
          <w:bCs/>
          <w:color w:val="2E7D52"/>
          <w:sz w:val="24"/>
          <w:szCs w:val="24"/>
        </w:rPr>
        <w:t xml:space="preserve">2.1 The Central Business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8"/>
              <w:left w:val="none"/>
              <w:bottom w:val="single" w:color="2E7D52" w:sz="8"/>
              <w:right w:val="none"/>
            </w:tcBorders>
            <w:shd w:fill="E8F5EE" w:val="clear"/>
            <w:tcMar>
              <w:top w:type="dxa" w:w="200"/>
              <w:left w:type="dxa" w:w="280"/>
              <w:bottom w:type="dxa" w:w="200"/>
              <w:right w:type="dxa" w:w="280"/>
            </w:tcMar>
          </w:tcPr>
          <w:p>
            <w:r>
              <w:rPr>
                <w:rFonts w:ascii="Arial" w:cs="Arial" w:eastAsia="Arial" w:hAnsi="Arial"/>
                <w:b/>
                <w:bCs/>
                <w:i/>
                <w:iCs/>
                <w:color w:val="1F5C3E"/>
                <w:sz w:val="22"/>
                <w:szCs w:val="22"/>
              </w:rPr>
              <w:t xml:space="preserve">"Which crops should a procurement manager prioritise for contract farming in the next Kharif/Rabi season, in which states, and at what price — given current yield trends, market price fragmentation, and climate exposure?"</w:t>
            </w:r>
          </w:p>
        </w:tc>
      </w:tr>
    </w:tbl>
    <w:p>
      <w:r>
        <w:rPr>
          <w:sz w:val="22"/>
          <w:szCs w:val="22"/>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3. Analytical Questions This System Answers</w:t>
      </w:r>
    </w:p>
    <w:p>
      <w:pPr>
        <w:spacing w:before="60" w:after="80"/>
      </w:pPr>
      <w:r>
        <w:rPr>
          <w:rFonts w:ascii="Arial" w:cs="Arial" w:eastAsia="Arial" w:hAnsi="Arial"/>
          <w:color w:val="1A1A1A"/>
          <w:sz w:val="22"/>
          <w:szCs w:val="22"/>
        </w:rPr>
        <w:t xml:space="preserve">Each module maps to a specific decision-support question: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w:t>
            </w:r>
          </w:p>
        </w:tc>
        <w:tc>
          <w:tcPr>
            <w:tcW w:type="dxa" w:w="4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ANALYTICAL QUESTION</w:t>
            </w:r>
          </w:p>
        </w:tc>
        <w:tc>
          <w:tcPr>
            <w:tcW w:type="dxa" w:w="46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MODULE THAT ANSWERS IT</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Q1</w:t>
            </w:r>
          </w:p>
        </w:tc>
        <w:tc>
          <w:tcPr>
            <w:tcW w:type="dxa" w:w="4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Which crops have shown the most consistent yield growth vs which are becoming more volatile?</w:t>
            </w:r>
          </w:p>
        </w:tc>
        <w:tc>
          <w:tcPr>
            <w:tcW w:type="dxa" w:w="46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1 — Production Intelligence (CAGR, CV%)</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Where in India is each crop cheapest to procure relative to the national average?</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2 — Market Arbitrage (Net Margin Analysis)</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Q3</w:t>
            </w:r>
          </w:p>
        </w:tc>
        <w:tc>
          <w:tcPr>
            <w:tcW w:type="dxa" w:w="4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Which crops face the greatest yield decline risk under a 20% monsoon deficit scenario?</w:t>
            </w:r>
          </w:p>
        </w:tc>
        <w:tc>
          <w:tcPr>
            <w:tcW w:type="dxa" w:w="46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3 — Climate Risk (OLS Rainfall-Yield Regression)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Where is the largest gap between raw export value and processing-stage export value?</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4 — Export Strategy (CAPEX Targeting)</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Q5</w:t>
            </w:r>
          </w:p>
        </w:tc>
        <w:tc>
          <w:tcPr>
            <w:tcW w:type="dxa" w:w="4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Which crops have low composite risk AND high growth opportunity — making them ideal for contract farming commitment?</w:t>
            </w:r>
          </w:p>
        </w:tc>
        <w:tc>
          <w:tcPr>
            <w:tcW w:type="dxa" w:w="46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5 — Composite Risk + Quadrant Matrix</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Q6</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What is the expected supply trajectory for key inputs over the next 2 seasons, and how does a 20% shock affect procurement planning?</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 6 — Forecasting &amp; Stress Test</w:t>
            </w:r>
          </w:p>
        </w:tc>
      </w:tr>
    </w:tbl>
    <w:p>
      <w:r>
        <w:rPr>
          <w:sz w:val="22"/>
          <w:szCs w:val="22"/>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4. Key Assumptions &amp; Risk Register</w:t>
      </w:r>
    </w:p>
    <w:p>
      <w:pPr>
        <w:spacing w:before="60" w:after="80"/>
      </w:pPr>
      <w:r>
        <w:rPr>
          <w:rFonts w:ascii="Arial" w:cs="Arial" w:eastAsia="Arial" w:hAnsi="Arial"/>
          <w:color w:val="1A1A1A"/>
          <w:sz w:val="22"/>
          <w:szCs w:val="22"/>
        </w:rPr>
        <w:t xml:space="preserve">The following assumptions underpin the analytical model. These must be validated with domain stakeholders before operational use: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700"/>
        <w:gridCol w:w="2760"/>
      </w:tblGrid>
      <w:tr>
        <w:tc>
          <w:tcPr>
            <w:tcW w:type="dxa" w:w="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w:t>
            </w:r>
          </w:p>
        </w:tc>
        <w:tc>
          <w:tcPr>
            <w:tcW w:type="dxa" w:w="35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ASSUMPTION</w:t>
            </w:r>
          </w:p>
        </w:tc>
        <w:tc>
          <w:tcPr>
            <w:tcW w:type="dxa" w:w="27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IMPLICATION IF WRONG</w:t>
            </w:r>
          </w:p>
        </w:tc>
        <w:tc>
          <w:tcPr>
            <w:tcW w:type="dxa" w:w="27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A1</w:t>
            </w:r>
          </w:p>
        </w:tc>
        <w:tc>
          <w:tcPr>
            <w:tcW w:type="dxa" w:w="35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Composite risk weights (40% production / 40% market / 20% climate) reflect procurement priorities.</w:t>
            </w:r>
          </w:p>
        </w:tc>
        <w:tc>
          <w:tcPr>
            <w:tcW w:type="dxa" w:w="27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Score ranking changes. Validate weights with procurement SME.</w:t>
            </w:r>
          </w:p>
        </w:tc>
        <w:tc>
          <w:tcPr>
            <w:tcW w:type="dxa" w:w="276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 — revisit with stakeholder</w:t>
            </w:r>
          </w:p>
        </w:tc>
      </w:tr>
      <w:tr>
        <w:tc>
          <w:tcPr>
            <w:tcW w:type="dxa" w:w="4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A2</w:t>
            </w:r>
          </w:p>
        </w:tc>
        <w:tc>
          <w:tcPr>
            <w:tcW w:type="dxa" w:w="35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Mandi price snapshot (19 May 2025) is representative of seasonal norms.</w:t>
            </w:r>
          </w:p>
        </w:tc>
        <w:tc>
          <w:tcPr>
            <w:tcW w:type="dxa" w:w="270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Arbitrage opportunities may be seasonal or one-off.</w:t>
            </w:r>
          </w:p>
        </w:tc>
        <w:tc>
          <w:tcPr>
            <w:tcW w:type="dxa" w:w="276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 — requires time series</w:t>
            </w:r>
          </w:p>
        </w:tc>
      </w:tr>
      <w:tr>
        <w:tc>
          <w:tcPr>
            <w:tcW w:type="dxa" w:w="4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A3</w:t>
            </w:r>
          </w:p>
        </w:tc>
        <w:tc>
          <w:tcPr>
            <w:tcW w:type="dxa" w:w="35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Water footprint values used as climate risk proxy are fixed reference averages, not measured actuals.</w:t>
            </w:r>
          </w:p>
        </w:tc>
        <w:tc>
          <w:tcPr>
            <w:tcW w:type="dxa" w:w="27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Climate risk rank may differ from IMD actuals.</w:t>
            </w:r>
          </w:p>
        </w:tc>
        <w:tc>
          <w:tcPr>
            <w:tcW w:type="dxa" w:w="276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MEDIUM — directionally valid</w:t>
            </w:r>
          </w:p>
        </w:tc>
      </w:tr>
      <w:tr>
        <w:tc>
          <w:tcPr>
            <w:tcW w:type="dxa" w:w="4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A4</w:t>
            </w:r>
          </w:p>
        </w:tc>
        <w:tc>
          <w:tcPr>
            <w:tcW w:type="dxa" w:w="35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OLS linear trend is an adequate model for 5-year production data.</w:t>
            </w:r>
          </w:p>
        </w:tc>
        <w:tc>
          <w:tcPr>
            <w:tcW w:type="dxa" w:w="27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Non-linear crops (Sugarcane, Cotton) will be mis-forecast.</w:t>
            </w:r>
          </w:p>
        </w:tc>
        <w:tc>
          <w:tcPr>
            <w:tcW w:type="dxa" w:w="276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MEDIUM — flag R² &lt; 0.5</w:t>
            </w:r>
          </w:p>
        </w:tc>
      </w:tr>
      <w:tr>
        <w:tc>
          <w:tcPr>
            <w:tcW w:type="dxa" w:w="400"/>
            <w:tcBorders>
              <w:top w:val="single" w:color="CCCCCC" w:sz="1"/>
              <w:left w:val="single" w:color="CCCCCC" w:sz="1"/>
              <w:bottom w:val="single" w:color="CCCCCC" w:sz="1"/>
              <w:right w:val="single" w:color="CCCCCC" w:sz="1"/>
            </w:tcBorders>
            <w:shd w:fill="F0FFF4"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A5</w:t>
            </w:r>
          </w:p>
        </w:tc>
        <w:tc>
          <w:tcPr>
            <w:tcW w:type="dxa" w:w="3500"/>
            <w:tcBorders>
              <w:top w:val="single" w:color="CCCCCC" w:sz="1"/>
              <w:left w:val="single" w:color="CCCCCC" w:sz="1"/>
              <w:bottom w:val="single" w:color="CCCCCC" w:sz="1"/>
              <w:right w:val="single" w:color="CCCCCC"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name normalisation dictionary is complete.</w:t>
            </w:r>
          </w:p>
        </w:tc>
        <w:tc>
          <w:tcPr>
            <w:tcW w:type="dxa" w:w="2700"/>
            <w:tcBorders>
              <w:top w:val="single" w:color="CCCCCC" w:sz="1"/>
              <w:left w:val="single" w:color="CCCCCC" w:sz="1"/>
              <w:bottom w:val="single" w:color="CCCCCC" w:sz="1"/>
              <w:right w:val="single" w:color="CCCCCC"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Some states silently excluded from joins.</w:t>
            </w:r>
          </w:p>
        </w:tc>
        <w:tc>
          <w:tcPr>
            <w:tcW w:type="dxa" w:w="2760"/>
            <w:tcBorders>
              <w:top w:val="single" w:color="CCCCCC" w:sz="1"/>
              <w:left w:val="single" w:color="CCCCCC" w:sz="1"/>
              <w:bottom w:val="single" w:color="CCCCCC" w:sz="1"/>
              <w:right w:val="single" w:color="CCCCCC"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LOW — validate row counts</w:t>
            </w:r>
          </w:p>
        </w:tc>
      </w:tr>
    </w:tbl>
    <w:p>
      <w:r>
        <w:rPr>
          <w:sz w:val="22"/>
          <w:szCs w:val="22"/>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5. Scope Boundaries</w:t>
      </w:r>
    </w:p>
    <w:p>
      <w:pPr>
        <w:spacing w:before="60" w:after="80"/>
      </w:pPr>
      <w:r>
        <w:rPr>
          <w:rFonts w:ascii="Arial" w:cs="Arial" w:eastAsia="Arial" w:hAnsi="Arial"/>
          <w:color w:val="1A1A1A"/>
          <w:sz w:val="22"/>
          <w:szCs w:val="22"/>
        </w:rPr>
        <w:t xml:space="preserve">A clearly defined scope prevents scope creep and sets honest expectations for stakeholder users.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IN SCOPE</w:t>
            </w:r>
          </w:p>
        </w:tc>
        <w:tc>
          <w:tcPr>
            <w:tcW w:type="dxa" w:w="468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OUT OF SCOPE (EXPLICITLY EXCLUDED)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National crop production trends (2021–2026)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Farm-level microeconomic data</w:t>
            </w:r>
          </w:p>
        </w:tc>
      </w:tr>
      <w:tr>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Mandi-level price fragmentation across available mandis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Real-time price feeds or live API integration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State-level rainfall-yield correlation analysis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District-level granularity (insufficient data)</w:t>
            </w:r>
          </w:p>
        </w:tc>
      </w:tr>
      <w:tr>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HS chapter-level export value and growth analysis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Destination country or buyer-level export analysis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2-season production forecasting with uncertainty bands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Commodity price forecasting (futures/derivatives)</w:t>
            </w:r>
          </w:p>
        </w:tc>
      </w:tr>
      <w:tr>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Composite risk scoring and strategic quadrant classification</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Farmer income or subsidy impact analysis</w:t>
            </w:r>
          </w:p>
        </w:tc>
      </w:tr>
    </w:tbl>
    <w:p>
      <w:r>
        <w:rPr>
          <w:sz w:val="22"/>
          <w:szCs w:val="22"/>
        </w:rPr>
        <w:t xml:space="preserve"/>
      </w:r>
    </w:p>
    <w:p>
      <w:pPr>
        <w:pStyle w:val="Heading2"/>
        <w:spacing w:before="280" w:after="100"/>
      </w:pPr>
      <w:r>
        <w:rPr>
          <w:rFonts w:ascii="Arial" w:cs="Arial" w:eastAsia="Arial" w:hAnsi="Arial"/>
          <w:b/>
          <w:bCs/>
          <w:color w:val="2E7D52"/>
          <w:sz w:val="24"/>
          <w:szCs w:val="24"/>
        </w:rPr>
        <w:t xml:space="preserve">5.1 Data Period</w:t>
      </w:r>
    </w:p>
    <w:p>
      <w:pPr>
        <w:pStyle w:val="ListParagraph"/>
        <w:numPr>
          <w:ilvl w:val="0"/>
          <w:numId w:val="2"/>
        </w:numPr>
        <w:spacing w:before="60" w:after="60"/>
      </w:pPr>
      <w:r>
        <w:rPr>
          <w:rFonts w:ascii="Arial" w:cs="Arial" w:eastAsia="Arial" w:hAnsi="Arial"/>
          <w:color w:val="1A1A1A"/>
          <w:sz w:val="22"/>
          <w:szCs w:val="22"/>
        </w:rPr>
        <w:t xml:space="preserve">Production data: 2021-22 to 2025-26 (5 seasons; 2025-26 is projected in source data)</w:t>
      </w:r>
    </w:p>
    <w:p>
      <w:pPr>
        <w:pStyle w:val="ListParagraph"/>
        <w:numPr>
          <w:ilvl w:val="0"/>
          <w:numId w:val="2"/>
        </w:numPr>
        <w:spacing w:before="60" w:after="60"/>
      </w:pPr>
      <w:r>
        <w:rPr>
          <w:rFonts w:ascii="Arial" w:cs="Arial" w:eastAsia="Arial" w:hAnsi="Arial"/>
          <w:color w:val="1A1A1A"/>
          <w:sz w:val="22"/>
          <w:szCs w:val="22"/>
        </w:rPr>
        <w:t xml:space="preserve">Mandi price data: Single snapshot — 19 May 2025</w:t>
      </w:r>
    </w:p>
    <w:p>
      <w:pPr>
        <w:pStyle w:val="ListParagraph"/>
        <w:numPr>
          <w:ilvl w:val="0"/>
          <w:numId w:val="2"/>
        </w:numPr>
        <w:spacing w:before="60" w:after="60"/>
      </w:pPr>
      <w:r>
        <w:rPr>
          <w:rFonts w:ascii="Arial" w:cs="Arial" w:eastAsia="Arial" w:hAnsi="Arial"/>
          <w:color w:val="1A1A1A"/>
          <w:sz w:val="22"/>
          <w:szCs w:val="22"/>
        </w:rPr>
        <w:t xml:space="preserve">Rainfall data: Multi-year climatological averages per state</w:t>
      </w:r>
    </w:p>
    <w:p>
      <w:pPr>
        <w:pStyle w:val="ListParagraph"/>
        <w:numPr>
          <w:ilvl w:val="0"/>
          <w:numId w:val="2"/>
        </w:numPr>
        <w:spacing w:before="60" w:after="60"/>
      </w:pPr>
      <w:r>
        <w:rPr>
          <w:rFonts w:ascii="Arial" w:cs="Arial" w:eastAsia="Arial" w:hAnsi="Arial"/>
          <w:color w:val="1A1A1A"/>
          <w:sz w:val="22"/>
          <w:szCs w:val="22"/>
        </w:rPr>
        <w:t xml:space="preserve">Export data: FY 2022-23 and FY 2023-24 comparison</w:t>
      </w:r>
    </w:p>
    <w:p>
      <w:r>
        <w:rPr>
          <w:sz w:val="22"/>
          <w:szCs w:val="22"/>
        </w:rPr>
        <w:t xml:space="preserve"/>
      </w:r>
    </w:p>
    <w:p>
      <w:pPr>
        <w:pStyle w:val="Heading1"/>
        <w:pBdr>
          <w:bottom w:val="single" w:color="2E7D52" w:sz="6" w:space="4"/>
        </w:pBdr>
        <w:spacing w:before="360" w:after="120"/>
      </w:pPr>
      <w:r>
        <w:rPr>
          <w:rFonts w:ascii="Arial" w:cs="Arial" w:eastAsia="Arial" w:hAnsi="Arial"/>
          <w:b/>
          <w:bCs/>
          <w:color w:val="1F5C3E"/>
          <w:sz w:val="28"/>
          <w:szCs w:val="28"/>
        </w:rPr>
        <w:t xml:space="preserve">6. Success Criteria &amp; Acceptance Tests</w:t>
      </w:r>
    </w:p>
    <w:p>
      <w:pPr>
        <w:spacing w:before="60" w:after="80"/>
      </w:pPr>
      <w:r>
        <w:rPr>
          <w:rFonts w:ascii="Arial" w:cs="Arial" w:eastAsia="Arial" w:hAnsi="Arial"/>
          <w:color w:val="1A1A1A"/>
          <w:sz w:val="22"/>
          <w:szCs w:val="22"/>
        </w:rPr>
        <w:t xml:space="preserve">This analysis is considered analytically complete when each of the following conditions is met:</w:t>
      </w:r>
    </w:p>
    <w:p>
      <w:r>
        <w:rPr>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AC-1: </w:t>
      </w:r>
      <w:r>
        <w:rPr>
          <w:rFonts w:ascii="Arial" w:cs="Arial" w:eastAsia="Arial" w:hAnsi="Arial"/>
          <w:color w:val="1A1A1A"/>
          <w:sz w:val="22"/>
          <w:szCs w:val="22"/>
        </w:rPr>
        <w:t xml:space="preserve">The composite risk model produces a ranked list of at least 10 crops with defensible scores and clearly documented weight assumptions.</w:t>
      </w:r>
    </w:p>
    <w:p>
      <w:pPr>
        <w:pStyle w:val="ListParagraph"/>
        <w:numPr>
          <w:ilvl w:val="0"/>
          <w:numId w:val="2"/>
        </w:numPr>
        <w:spacing w:before="60" w:after="60"/>
      </w:pPr>
      <w:r>
        <w:rPr>
          <w:rFonts w:ascii="Arial" w:cs="Arial" w:eastAsia="Arial" w:hAnsi="Arial"/>
          <w:b/>
          <w:bCs/>
          <w:color w:val="1A1A1A"/>
          <w:sz w:val="22"/>
          <w:szCs w:val="22"/>
        </w:rPr>
        <w:t xml:space="preserve">AC-2: </w:t>
      </w:r>
      <w:r>
        <w:rPr>
          <w:rFonts w:ascii="Arial" w:cs="Arial" w:eastAsia="Arial" w:hAnsi="Arial"/>
          <w:color w:val="1A1A1A"/>
          <w:sz w:val="22"/>
          <w:szCs w:val="22"/>
        </w:rPr>
        <w:t xml:space="preserve">The rainfall-yield regression produces statistically interpreted output (R², p-value, slope direction) for a minimum of 5 major crops.</w:t>
      </w:r>
    </w:p>
    <w:p>
      <w:pPr>
        <w:pStyle w:val="ListParagraph"/>
        <w:numPr>
          <w:ilvl w:val="0"/>
          <w:numId w:val="2"/>
        </w:numPr>
        <w:spacing w:before="60" w:after="60"/>
      </w:pPr>
      <w:r>
        <w:rPr>
          <w:rFonts w:ascii="Arial" w:cs="Arial" w:eastAsia="Arial" w:hAnsi="Arial"/>
          <w:b/>
          <w:bCs/>
          <w:color w:val="1A1A1A"/>
          <w:sz w:val="22"/>
          <w:szCs w:val="22"/>
        </w:rPr>
        <w:t xml:space="preserve">AC-3: </w:t>
      </w:r>
      <w:r>
        <w:rPr>
          <w:rFonts w:ascii="Arial" w:cs="Arial" w:eastAsia="Arial" w:hAnsi="Arial"/>
          <w:color w:val="1A1A1A"/>
          <w:sz w:val="22"/>
          <w:szCs w:val="22"/>
        </w:rPr>
        <w:t xml:space="preserve">The arbitrage module identifies at least 5 commodity-state pairs where net margin exceeds ₹500/quintal after transport and spoilage.</w:t>
      </w:r>
    </w:p>
    <w:p>
      <w:pPr>
        <w:pStyle w:val="ListParagraph"/>
        <w:numPr>
          <w:ilvl w:val="0"/>
          <w:numId w:val="2"/>
        </w:numPr>
        <w:spacing w:before="60" w:after="60"/>
      </w:pPr>
      <w:r>
        <w:rPr>
          <w:rFonts w:ascii="Arial" w:cs="Arial" w:eastAsia="Arial" w:hAnsi="Arial"/>
          <w:b/>
          <w:bCs/>
          <w:color w:val="1A1A1A"/>
          <w:sz w:val="22"/>
          <w:szCs w:val="22"/>
        </w:rPr>
        <w:t xml:space="preserve">AC-4: </w:t>
      </w:r>
      <w:r>
        <w:rPr>
          <w:rFonts w:ascii="Arial" w:cs="Arial" w:eastAsia="Arial" w:hAnsi="Arial"/>
          <w:color w:val="1A1A1A"/>
          <w:sz w:val="22"/>
          <w:szCs w:val="22"/>
        </w:rPr>
        <w:t xml:space="preserve">The forecasting module clearly flags crops where R² &lt; 0.5 and explicitly communicates forecast uncertainty via confidence bands.</w:t>
      </w:r>
    </w:p>
    <w:p>
      <w:pPr>
        <w:pStyle w:val="ListParagraph"/>
        <w:numPr>
          <w:ilvl w:val="0"/>
          <w:numId w:val="2"/>
        </w:numPr>
        <w:spacing w:before="60" w:after="60"/>
      </w:pPr>
      <w:r>
        <w:rPr>
          <w:rFonts w:ascii="Arial" w:cs="Arial" w:eastAsia="Arial" w:hAnsi="Arial"/>
          <w:b/>
          <w:bCs/>
          <w:color w:val="1A1A1A"/>
          <w:sz w:val="22"/>
          <w:szCs w:val="22"/>
        </w:rPr>
        <w:t xml:space="preserve">AC-5: </w:t>
      </w:r>
      <w:r>
        <w:rPr>
          <w:rFonts w:ascii="Arial" w:cs="Arial" w:eastAsia="Arial" w:hAnsi="Arial"/>
          <w:color w:val="1A1A1A"/>
          <w:sz w:val="22"/>
          <w:szCs w:val="22"/>
        </w:rPr>
        <w:t xml:space="preserve">The Strategic Quadrant Matrix classifies all analysed crops into one of four named quadrants with written procurement implications.</w:t>
      </w:r>
    </w:p>
    <w:p>
      <w:pPr>
        <w:pStyle w:val="ListParagraph"/>
        <w:numPr>
          <w:ilvl w:val="0"/>
          <w:numId w:val="2"/>
        </w:numPr>
        <w:spacing w:before="60" w:after="60"/>
      </w:pPr>
      <w:r>
        <w:rPr>
          <w:rFonts w:ascii="Arial" w:cs="Arial" w:eastAsia="Arial" w:hAnsi="Arial"/>
          <w:b/>
          <w:bCs/>
          <w:color w:val="1A1A1A"/>
          <w:sz w:val="22"/>
          <w:szCs w:val="22"/>
        </w:rPr>
        <w:t xml:space="preserve">AC-6: </w:t>
      </w:r>
      <w:r>
        <w:rPr>
          <w:rFonts w:ascii="Arial" w:cs="Arial" w:eastAsia="Arial" w:hAnsi="Arial"/>
          <w:color w:val="1A1A1A"/>
          <w:sz w:val="22"/>
          <w:szCs w:val="22"/>
        </w:rPr>
        <w:t xml:space="preserve">Each module contains a 'Key Findings' callout with the top 2–3 business-relevant implications stated in non-technical language.</w:t>
      </w:r>
    </w:p>
    <w:p>
      <w:r>
        <w:rPr>
          <w:sz w:val="22"/>
          <w:szCs w:val="22"/>
        </w:rPr>
        <w:t xml:space="preserve"/>
      </w:r>
    </w:p>
    <w:p>
      <w:pPr>
        <w:pStyle w:val="Heading2"/>
        <w:spacing w:before="280" w:after="100"/>
      </w:pPr>
      <w:r>
        <w:rPr>
          <w:rFonts w:ascii="Arial" w:cs="Arial" w:eastAsia="Arial" w:hAnsi="Arial"/>
          <w:b/>
          <w:bCs/>
          <w:color w:val="2E7D52"/>
          <w:sz w:val="24"/>
          <w:szCs w:val="24"/>
        </w:rPr>
        <w:t xml:space="preserve">6.1 What This System Does Not Guarantee</w:t>
      </w:r>
    </w:p>
    <w:p>
      <w:pPr>
        <w:spacing w:before="40" w:after="60"/>
      </w:pPr>
      <w:r>
        <w:rPr>
          <w:rFonts w:ascii="Arial" w:cs="Arial" w:eastAsia="Arial" w:hAnsi="Arial"/>
          <w:i/>
          <w:iCs/>
          <w:color w:val="555555"/>
          <w:sz w:val="20"/>
          <w:szCs w:val="20"/>
        </w:rPr>
        <w:t xml:space="preserve">This system provides decision-support intelligence, not operational instructions. All procurement decisions remain the responsibility of the designated commercial team. Prices, yields, and market conditions change continuously; this analysis should be refreshed with updated data before each procurement cycle.</w:t>
      </w:r>
    </w:p>
    <w:p>
      <w:r>
        <w:rPr>
          <w:sz w:val="22"/>
          <w:szCs w:val="22"/>
        </w:rPr>
        <w:t xml:space="preserve"/>
      </w:r>
    </w:p>
    <w:p>
      <w:pPr>
        <w:pBdr>
          <w:top w:val="single" w:color="2E7D52" w:sz="4" w:space="8"/>
        </w:pBdr>
        <w:spacing w:before="400"/>
        <w:jc w:val="center"/>
      </w:pPr>
      <w:r>
        <w:rPr>
          <w:rFonts w:ascii="Arial" w:cs="Arial" w:eastAsia="Arial" w:hAnsi="Arial"/>
          <w:i/>
          <w:iCs/>
          <w:color w:val="555555"/>
          <w:sz w:val="18"/>
          <w:szCs w:val="18"/>
        </w:rPr>
        <w:t xml:space="preserve">Agricultural Intelligence System for India  ·  Business Requirements Document  ·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C3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2026-03-10T19:03:57.636Z</dcterms:created>
  <dcterms:modified xsi:type="dcterms:W3CDTF">2026-03-10T19:03:57.637Z</dcterms:modified>
</cp:coreProperties>
</file>

<file path=docProps/custom.xml><?xml version="1.0" encoding="utf-8"?>
<Properties xmlns="http://schemas.openxmlformats.org/officeDocument/2006/custom-properties" xmlns:vt="http://schemas.openxmlformats.org/officeDocument/2006/docPropsVTypes"/>
</file>