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2c38c6b82084a4a" /><Relationship Type="http://schemas.openxmlformats.org/package/2006/relationships/metadata/core-properties" Target="/docProps/core.xml" Id="Rc81acaea7c7b4147" /><Relationship Type="http://schemas.openxmlformats.org/officeDocument/2006/relationships/extended-properties" Target="/docProps/app.xml" Id="R4fb711fcde274425" /><Relationship Type="http://schemas.openxmlformats.org/officeDocument/2006/relationships/custom-properties" Target="/docProps/custom.xml" Id="R0a43f878d352452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52"/>
        </w:rPr>
        <w:t xml:space="preserve">AI IMPACT ON STUDENTS</w:t>
      </w:r>
    </w:p>
    <w:p w14:paraId="00100002" w14:textId="00100003">
      <w:pPr>
        <w:pStyle w:val="Normal"/>
        <w:spacing w:after="360"/>
        <w:jc w:val="center"/>
      </w:pPr>
      <w:r>
        <w:rPr>
          <w:sz w:val="26"/>
        </w:rPr>
        <w:t xml:space="preserve">Analyzing How Generative AI Tools Affect Academic Outcomes, GPA Changes, and Burnout Risk</w:t>
      </w:r>
    </w:p>
    <w:p w14:paraId="00100004" w14:textId="00100005">
      <w:pPr>
        <w:pStyle w:val="Normal"/>
        <w:spacing w:after="80"/>
        <w:jc w:val="center"/>
      </w:pPr>
      <w:r>
        <w:rPr>
          <w:sz w:val="24"/>
        </w:rPr>
        <w:t xml:space="preserve">Author: Dharamveer Sharma</w:t>
      </w:r>
    </w:p>
    <w:p w14:paraId="00100006" w14:textId="00100007">
      <w:pPr>
        <w:pStyle w:val="Normal"/>
        <w:spacing w:after="80"/>
        <w:jc w:val="center"/>
      </w:pPr>
      <w:r>
        <w:rPr>
          <w:sz w:val="24"/>
        </w:rPr>
        <w:t xml:space="preserve">Program: IBM SkillsBuild Data Analytics with AI Academic Internship</w:t>
      </w:r>
    </w:p>
    <w:p w14:paraId="00100008" w14:textId="00100009">
      <w:pPr>
        <w:pStyle w:val="Normal"/>
        <w:spacing w:after="80"/>
        <w:jc w:val="center"/>
      </w:pPr>
      <w:r>
        <w:rPr>
          <w:sz w:val="24"/>
        </w:rPr>
        <w:t xml:space="preserve">Organized by: BharatCares in association with AICTE</w:t>
      </w:r>
    </w:p>
    <w:p w14:paraId="0010000A" w14:textId="0010000B">
      <w:pPr>
        <w:pStyle w:val="Normal"/>
        <w:spacing w:after="80"/>
        <w:jc w:val="center"/>
      </w:pPr>
      <w:r>
        <w:rPr>
          <w:sz w:val="24"/>
        </w:rPr>
        <w:t xml:space="preserve">Repository: IBM_Skillbuild_project</w:t>
      </w:r>
    </w:p>
    <w:p w14:paraId="0010000C" w14:textId="0010000D">
      <w:pPr>
        <w:pStyle w:val="Normal"/>
        <w:spacing w:after="600"/>
        <w:jc w:val="center"/>
      </w:pPr>
      <w:r>
        <w:rPr>
          <w:sz w:val="24"/>
        </w:rPr>
        <w:t xml:space="preserve">Dataset: AI Impact on Students Dataset (Kaggle)</w:t>
      </w:r>
    </w:p>
    <w:p w14:paraId="0010000E" w14:textId="0010000F">
      <w:pPr>
        <w:pStyle w:val="Heading1"/>
        <w:spacing w:before="320" w:after="160"/>
      </w:pPr>
      <w:r>
        <w:rPr>
          <w:b/>
          <w:sz w:val="36"/>
        </w:rPr>
        <w:t xml:space="preserve">1. Introduction &amp; Objectives</w:t>
      </w:r>
    </w:p>
    <w:p w14:paraId="00100010" w14:textId="00100011">
      <w:pPr>
        <w:pStyle w:val="Normal"/>
        <w:spacing w:after="160"/>
      </w:pPr>
      <w:r>
        <w:rPr>
          <w:sz w:val="22"/>
        </w:rPr>
        <w:t xml:space="preserve">Artificial Intelligence, particularly Generative AI (GenAI), has rapidly permeated educational environments. Students now use tools such as ChatGPT, Copilot, and Gemini for tasks ranging from debugging code to drafting essays. While these tools promise enhanced productivity, they also raise pressing questions about skill retention, academic integrity, psychological dependency, and burnout risk.</w:t>
      </w:r>
    </w:p>
    <w:p w14:paraId="00100012" w14:textId="001000D2">
      <w:pPr>
        <w:pStyle w:val="Normal"/>
        <w:spacing w:after="160"/>
      </w:pPr>
      <w:r>
        <w:rPr>
          <w:sz w:val="22"/>
        </w:rPr>
        <w:t xml:space="preserve">This project investigates the multidimensional impact of GenAI on student academic performance, leveraging a structured dataset of 50,000 student records spanning multiple major categories, academic years, and institutional policy frameworks.</w:t>
      </w:r>
    </w:p>
    <w:p w14:paraId="00100014" w14:textId="00100015">
      <w:pPr>
        <w:pStyle w:val="Normal"/>
        <w:spacing w:after="80"/>
      </w:pPr>
      <w:r>
        <w:rPr>
          <w:b/>
          <w:sz w:val="22"/>
        </w:rPr>
        <w:t xml:space="preserve">Primary Objectives:</w:t>
      </w:r>
    </w:p>
    <w:p w14:paraId="00100016" w14:textId="00100017">
      <w:pPr>
        <w:pStyle w:val="Normal"/>
        <w:spacing w:after="60"/>
      </w:pPr>
      <w:r>
        <w:rPr>
          <w:sz w:val="22"/>
        </w:rPr>
        <w:t xml:space="preserve">• Analyze the relationship between weekly GenAI usage hours and GPA change.</w:t>
      </w:r>
    </w:p>
    <w:p w14:paraId="00100018" w14:textId="00100019">
      <w:pPr>
        <w:pStyle w:val="Normal"/>
        <w:spacing w:after="60"/>
      </w:pPr>
      <w:r>
        <w:rPr>
          <w:sz w:val="22"/>
        </w:rPr>
        <w:t xml:space="preserve">• Examine how perceived AI dependency correlates with skill retention scores.</w:t>
      </w:r>
    </w:p>
    <w:p w14:paraId="0010001A" w14:textId="0010001B">
      <w:pPr>
        <w:pStyle w:val="Normal"/>
        <w:spacing w:after="60"/>
      </w:pPr>
      <w:r>
        <w:rPr>
          <w:sz w:val="22"/>
        </w:rPr>
        <w:t xml:space="preserve">• Assess whether prompt engineering skill level mediates burnout risk.</w:t>
      </w:r>
    </w:p>
    <w:p w14:paraId="0010001C" w14:textId="0010001D">
      <w:pPr>
        <w:pStyle w:val="Normal"/>
        <w:spacing w:after="60"/>
      </w:pPr>
      <w:r>
        <w:rPr>
          <w:sz w:val="22"/>
        </w:rPr>
        <w:t xml:space="preserve">• Build a machine learning classifier to predict student burnout risk level.</w:t>
      </w:r>
    </w:p>
    <w:p w14:paraId="0010001E" w14:textId="0010001F">
      <w:pPr>
        <w:pStyle w:val="Normal"/>
        <w:spacing w:after="240"/>
      </w:pPr>
      <w:r>
        <w:rPr>
          <w:sz w:val="22"/>
        </w:rPr>
        <w:t xml:space="preserve">• Provide ethical recommendations for responsible AI integration in education.</w:t>
      </w:r>
    </w:p>
    <w:p w14:paraId="00100020" w14:textId="00100021">
      <w:pPr>
        <w:pStyle w:val="Heading1"/>
        <w:spacing w:before="320" w:after="160"/>
      </w:pPr>
      <w:r>
        <w:rPr>
          <w:b/>
          <w:sz w:val="36"/>
        </w:rPr>
        <w:t xml:space="preserve">2. Dataset Description</w:t>
      </w:r>
    </w:p>
    <w:p w14:paraId="00100022" w14:textId="00100023">
      <w:pPr>
        <w:pStyle w:val="Normal"/>
        <w:spacing w:after="160"/>
      </w:pPr>
      <w:r>
        <w:rPr>
          <w:sz w:val="22"/>
        </w:rPr>
        <w:t xml:space="preserve">The dataset used is the AI Impact on Students Dataset, sourced from Kaggle. It contains records of students across multiple majors and academic years with a rich set of features capturing their GenAI usage patterns, study habits, and academic outcomes.</w:t>
      </w:r>
    </w:p>
    <w:p w14:paraId="00100024" w14:textId="00100025">
      <w:pPr>
        <w:pStyle w:val="Normal"/>
        <w:spacing w:after="80"/>
      </w:pPr>
      <w:r>
        <w:rPr>
          <w:b/>
          <w:sz w:val="22"/>
        </w:rPr>
        <w:t xml:space="preserve">Dataset Specifications: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6" w14:textId="00100027">
            <w:r>
              <w:t xml:space="preserve">Feature</w:t>
            </w:r>
          </w:p>
        </w:tc>
        <w:tc>
          <w:p w14:paraId="00100028" w14:textId="00100029">
            <w:r>
              <w:t xml:space="preserve">Type</w:t>
            </w:r>
          </w:p>
        </w:tc>
        <w:tc>
          <w:p w14:paraId="0010002A" w14:textId="0010002B">
            <w:r>
              <w:t xml:space="preserve">Description</w:t>
            </w:r>
          </w:p>
        </w:tc>
      </w:tr>
      <w:tr>
        <w:trPr/>
        <w:tc>
          <w:p w14:paraId="0010002C" w14:textId="0010002D">
            <w:r>
              <w:t xml:space="preserve">Student_ID</w:t>
            </w:r>
          </w:p>
        </w:tc>
        <w:tc>
          <w:p w14:paraId="0010002E" w14:textId="0010002F">
            <w:r>
              <w:t xml:space="preserve">Integer</w:t>
            </w:r>
          </w:p>
        </w:tc>
        <w:tc>
          <w:p w14:paraId="00100030" w14:textId="00100031">
            <w:r>
              <w:t xml:space="preserve">Unique identifier for each student</w:t>
            </w:r>
          </w:p>
        </w:tc>
      </w:tr>
      <w:tr>
        <w:trPr/>
        <w:tc>
          <w:p w14:paraId="00100032" w14:textId="00100033">
            <w:r>
              <w:t xml:space="preserve">Major_Category</w:t>
            </w:r>
          </w:p>
        </w:tc>
        <w:tc>
          <w:p w14:paraId="00100034" w14:textId="00100035">
            <w:r>
              <w:t xml:space="preserve">Categorical</w:t>
            </w:r>
          </w:p>
        </w:tc>
        <w:tc>
          <w:p w14:paraId="00100036" w14:textId="00100037">
            <w:r>
              <w:t xml:space="preserve">Academic discipline (STEM, Humanities, Business, Arts, Medical)</w:t>
            </w:r>
          </w:p>
        </w:tc>
      </w:tr>
      <w:tr>
        <w:trPr/>
        <w:tc>
          <w:p w14:paraId="00100038" w14:textId="00100039">
            <w:r>
              <w:t xml:space="preserve">Year_of_Study</w:t>
            </w:r>
          </w:p>
        </w:tc>
        <w:tc>
          <w:p w14:paraId="0010003A" w14:textId="0010003B">
            <w:r>
              <w:t xml:space="preserve">Ordinal</w:t>
            </w:r>
          </w:p>
        </w:tc>
        <w:tc>
          <w:p w14:paraId="0010003C" w14:textId="0010003D">
            <w:r>
              <w:t xml:space="preserve">Freshman, Sophomore, Junior, Senior, Graduate</w:t>
            </w:r>
          </w:p>
        </w:tc>
      </w:tr>
      <w:tr>
        <w:trPr/>
        <w:tc>
          <w:p w14:paraId="0010003E" w14:textId="0010003F">
            <w:r>
              <w:t xml:space="preserve">Pre / Post Semester GPA</w:t>
            </w:r>
          </w:p>
        </w:tc>
        <w:tc>
          <w:p w14:paraId="00100040" w14:textId="00100041">
            <w:r>
              <w:t xml:space="preserve">Float</w:t>
            </w:r>
          </w:p>
        </w:tc>
        <w:tc>
          <w:p w14:paraId="00100042" w14:textId="00100043">
            <w:r>
              <w:t xml:space="preserve">GPA before and after the semester (0.0 – 4.0)</w:t>
            </w:r>
          </w:p>
        </w:tc>
      </w:tr>
      <w:tr>
        <w:trPr/>
        <w:tc>
          <w:p w14:paraId="00100044" w14:textId="00100045">
            <w:r>
              <w:t xml:space="preserve">Weekly_GenAI_Hours</w:t>
            </w:r>
          </w:p>
        </w:tc>
        <w:tc>
          <w:p w14:paraId="00100046" w14:textId="00100047">
            <w:r>
              <w:t xml:space="preserve">Float</w:t>
            </w:r>
          </w:p>
        </w:tc>
        <w:tc>
          <w:p w14:paraId="00100048" w14:textId="00100049">
            <w:r>
              <w:t xml:space="preserve">Hours per week spent using GenAI tools</w:t>
            </w:r>
          </w:p>
        </w:tc>
      </w:tr>
      <w:tr>
        <w:trPr/>
        <w:tc>
          <w:p w14:paraId="0010004A" w14:textId="0010004B">
            <w:r>
              <w:t xml:space="preserve">Perceived_AI_Dependency</w:t>
            </w:r>
          </w:p>
        </w:tc>
        <w:tc>
          <w:p w14:paraId="0010004C" w14:textId="0010004D">
            <w:r>
              <w:t xml:space="preserve">Integer</w:t>
            </w:r>
          </w:p>
        </w:tc>
        <w:tc>
          <w:p w14:paraId="0010004E" w14:textId="0010004F">
            <w:r>
              <w:t xml:space="preserve">Self-rated dependency score (1–10)</w:t>
            </w:r>
          </w:p>
        </w:tc>
      </w:tr>
      <w:tr>
        <w:trPr/>
        <w:tc>
          <w:p w14:paraId="00100050" w14:textId="00100051">
            <w:r>
              <w:t xml:space="preserve">Prompt_Engineering_Skill</w:t>
            </w:r>
          </w:p>
        </w:tc>
        <w:tc>
          <w:p w14:paraId="00100052" w14:textId="00100053">
            <w:r>
              <w:t xml:space="preserve">Ordinal</w:t>
            </w:r>
          </w:p>
        </w:tc>
        <w:tc>
          <w:p w14:paraId="00100054" w14:textId="00100055">
            <w:r>
              <w:t xml:space="preserve">Beginner, Intermediate, Advanced</w:t>
            </w:r>
          </w:p>
        </w:tc>
      </w:tr>
      <w:tr>
        <w:trPr/>
        <w:tc>
          <w:p w14:paraId="00100056" w14:textId="00100057">
            <w:r>
              <w:t xml:space="preserve">Skill_Retention_Score</w:t>
            </w:r>
          </w:p>
        </w:tc>
        <w:tc>
          <w:p w14:paraId="00100058" w14:textId="00100059">
            <w:r>
              <w:t xml:space="preserve">Float</w:t>
            </w:r>
          </w:p>
        </w:tc>
        <w:tc>
          <w:p w14:paraId="0010005A" w14:textId="0010005B">
            <w:r>
              <w:t xml:space="preserve">Score reflecting retained learning (0–100)</w:t>
            </w:r>
          </w:p>
        </w:tc>
      </w:tr>
      <w:tr>
        <w:trPr/>
        <w:tc>
          <w:p w14:paraId="0010005C" w14:textId="0010005D">
            <w:r>
              <w:t xml:space="preserve">Burnout_Risk_Level</w:t>
            </w:r>
          </w:p>
        </w:tc>
        <w:tc>
          <w:p w14:paraId="0010005E" w14:textId="0010005F">
            <w:r>
              <w:t xml:space="preserve">Categorical</w:t>
            </w:r>
          </w:p>
        </w:tc>
        <w:tc>
          <w:p w14:paraId="00100060" w14:textId="00100061">
            <w:r>
              <w:t xml:space="preserve">Target variable: Low, Medium, High</w:t>
            </w:r>
          </w:p>
        </w:tc>
      </w:tr>
    </w:tbl>
    <w:p w14:paraId="00100062" w14:textId="00100063">
      <w:pPr>
        <w:pStyle w:val="Heading1"/>
        <w:spacing w:before="320" w:after="160"/>
      </w:pPr>
      <w:r>
        <w:rPr>
          <w:b/>
          <w:sz w:val="36"/>
        </w:rPr>
        <w:t xml:space="preserve">3. Methodology</w:t>
      </w:r>
    </w:p>
    <w:p w14:paraId="00100064" w14:textId="00100065">
      <w:pPr>
        <w:pStyle w:val="Heading2"/>
        <w:spacing w:before="200" w:after="120"/>
      </w:pPr>
      <w:r>
        <w:rPr>
          <w:b/>
          <w:sz w:val="28"/>
        </w:rPr>
        <w:t xml:space="preserve">3.1 Data Loading &amp; Cleaning</w:t>
      </w:r>
    </w:p>
    <w:p w14:paraId="00100066" w14:textId="00100067">
      <w:pPr>
        <w:pStyle w:val="Normal"/>
        <w:spacing w:after="160"/>
      </w:pPr>
      <w:r>
        <w:rPr>
          <w:sz w:val="22"/>
        </w:rPr>
        <w:t xml:space="preserve">The CSV dataset was loaded using Pandas. Data cleaning steps included: removing the non-informative Student_ID column, validating GPA ranges (0–4.0), converting Paid_Subscription to boolean, and stripping whitespace from categorical fields. No missing values were found, confirming a clean and complete dataset.</w:t>
      </w:r>
    </w:p>
    <w:p w14:paraId="00100068" w14:textId="00100069">
      <w:pPr>
        <w:pStyle w:val="Heading2"/>
        <w:spacing w:before="200" w:after="120"/>
      </w:pPr>
      <w:r>
        <w:rPr>
          <w:b/>
          <w:sz w:val="28"/>
        </w:rPr>
        <w:t xml:space="preserve">3.2 Feature Engineering</w:t>
      </w:r>
    </w:p>
    <w:p w14:paraId="0010006A" w14:textId="0010006B">
      <w:pPr>
        <w:pStyle w:val="Normal"/>
        <w:spacing w:after="80"/>
      </w:pPr>
      <w:r>
        <w:rPr>
          <w:sz w:val="22"/>
        </w:rPr>
        <w:t xml:space="preserve">Five new features were derived to enrich the analytical depth of the dataset:</w:t>
      </w:r>
    </w:p>
    <w:p w14:paraId="0010006C" w14:textId="0010006D">
      <w:pPr>
        <w:pStyle w:val="Normal"/>
        <w:spacing w:after="60"/>
      </w:pPr>
      <w:r>
        <w:rPr>
          <w:sz w:val="22"/>
        </w:rPr>
        <w:t xml:space="preserve">• GPA_Change: Post-semester GPA minus pre-semester GPA — measures academic trajectory.</w:t>
      </w:r>
    </w:p>
    <w:p w14:paraId="0010006E" w14:textId="0010006F">
      <w:pPr>
        <w:pStyle w:val="Normal"/>
        <w:spacing w:after="60"/>
      </w:pPr>
      <w:r>
        <w:rPr>
          <w:sz w:val="22"/>
        </w:rPr>
        <w:t xml:space="preserve">• AI_Study_Ratio: Proportion of total study time spent on GenAI — quantifies AI integration depth.</w:t>
      </w:r>
    </w:p>
    <w:p w14:paraId="00100070" w14:textId="00100071">
      <w:pPr>
        <w:pStyle w:val="Normal"/>
        <w:spacing w:after="60"/>
      </w:pPr>
      <w:r>
        <w:rPr>
          <w:sz w:val="22"/>
        </w:rPr>
        <w:t xml:space="preserve">• Skill_Efficiency: Skill retention score per GenAI hour — measures learning quality per AI usage unit.</w:t>
      </w:r>
    </w:p>
    <w:p w14:paraId="00100072" w14:textId="00100073">
      <w:pPr>
        <w:pStyle w:val="Normal"/>
        <w:spacing w:after="60"/>
      </w:pPr>
      <w:r>
        <w:rPr>
          <w:sz w:val="22"/>
        </w:rPr>
        <w:t xml:space="preserve">• High_AI_Dependency: Binary flag for students with Perceived_AI_Dependency &gt;= 5.</w:t>
      </w:r>
    </w:p>
    <w:p w14:paraId="00100074" w14:textId="00100075">
      <w:pPr>
        <w:pStyle w:val="Normal"/>
        <w:spacing w:after="160"/>
      </w:pPr>
      <w:r>
        <w:rPr>
          <w:sz w:val="22"/>
        </w:rPr>
        <w:t xml:space="preserve">• Prompt_Skill_Numeric: Numeric encoding of prompt skill for correlation analysis (Beginner=1, Intermediate=2, Advanced=3).</w:t>
      </w:r>
    </w:p>
    <w:p w14:paraId="00100076" w14:textId="00100077">
      <w:pPr>
        <w:pStyle w:val="Heading2"/>
        <w:spacing w:before="200" w:after="120"/>
      </w:pPr>
      <w:r>
        <w:rPr>
          <w:b/>
          <w:sz w:val="28"/>
        </w:rPr>
        <w:t xml:space="preserve">3.3 Encoding &amp; Model Training</w:t>
      </w:r>
    </w:p>
    <w:p w14:paraId="00100078" w14:textId="00100079">
      <w:pPr>
        <w:pStyle w:val="Normal"/>
        <w:spacing w:after="240"/>
      </w:pPr>
      <w:r>
        <w:rPr>
          <w:sz w:val="22"/>
        </w:rPr>
        <w:t xml:space="preserve">Categorical features were encoded using ordinal mapping (Year_of_Study, Prompt_Engineering_Skill, Burnout_Risk_Level) and One-Hot Encoding (Major_Category, Primary_Use_Case, Institutional_Policy). The dataset was split 80/20 into training and testing sets with stratification on the target class. Two models were trained and evaluated: (1) Random Forest Classifier (200 trees, max depth 10, balanced class weights) and (2) Logistic Regression (multinomial, L-BFGS solver) with StandardScaler preprocessing. Both models were evaluated using 5-fold stratified cross-validation, accuracy score, and classification reports.</w:t>
      </w:r>
    </w:p>
    <w:p w14:paraId="0010007A" w14:textId="0010007B">
      <w:pPr>
        <w:pStyle w:val="Heading1"/>
        <w:spacing w:before="320" w:after="160"/>
      </w:pPr>
      <w:r>
        <w:rPr>
          <w:b/>
          <w:sz w:val="36"/>
        </w:rPr>
        <w:t xml:space="preserve">4. Exploratory Data Analysis Insights</w:t>
      </w:r>
    </w:p>
    <w:p w14:paraId="0010007C" w14:textId="0010007D">
      <w:pPr>
        <w:pStyle w:val="Heading2"/>
        <w:spacing w:before="200" w:after="120"/>
      </w:pPr>
      <w:r>
        <w:rPr>
          <w:b/>
          <w:sz w:val="28"/>
        </w:rPr>
        <w:t xml:space="preserve">4.1 GPA Change Distribution</w:t>
      </w:r>
    </w:p>
    <w:p w14:paraId="0010007E" w14:textId="0010007F">
      <w:pPr>
        <w:pStyle w:val="Normal"/>
        <w:spacing w:after="160"/>
      </w:pPr>
      <w:r>
        <w:rPr>
          <w:sz w:val="22"/>
        </w:rPr>
        <w:t xml:space="preserve">The distribution of GPA change across the student population is approximately normal and centered slightly above zero, indicating a modest overall improvement. However, when stratified by burnout risk, students in the High burnout group exhibit noticeably lower and more variable GPA changes compared to Low and Medium groups. This confirms that burnout is not merely psychological — it manifests in measurable academic performance decline.</w:t>
      </w:r>
    </w:p>
    <w:p w14:paraId="00100080" w14:textId="00100081">
      <w:pPr>
        <w:pStyle w:val="Heading2"/>
        <w:spacing w:before="200" w:after="120"/>
      </w:pPr>
      <w:r>
        <w:rPr>
          <w:b/>
          <w:sz w:val="28"/>
        </w:rPr>
        <w:t xml:space="preserve">4.2 AI Dependency vs Skill Retention</w:t>
      </w:r>
    </w:p>
    <w:p w14:paraId="00100082" w14:textId="00100083">
      <w:pPr>
        <w:pStyle w:val="Normal"/>
        <w:spacing w:after="160"/>
      </w:pPr>
      <w:r>
        <w:rPr>
          <w:sz w:val="22"/>
        </w:rPr>
        <w:t xml:space="preserve">A moderate negative correlation exists between Perceived AI Dependency and Skill Retention Score. Students who report higher dependency on AI tools tend to retain less knowledge independently. Notably, Advanced prompt engineering skill students show higher average retention scores than Beginner-level students, suggesting that skill quality — not just usage volume — determines the learning outcome.</w:t>
      </w:r>
    </w:p>
    <w:p w14:paraId="00100084" w14:textId="00100085">
      <w:pPr>
        <w:pStyle w:val="Heading2"/>
        <w:spacing w:before="200" w:after="120"/>
      </w:pPr>
      <w:r>
        <w:rPr>
          <w:b/>
          <w:sz w:val="28"/>
        </w:rPr>
        <w:t xml:space="preserve">4.3 Weekly GenAI Hours &amp; GPA Change</w:t>
      </w:r>
    </w:p>
    <w:p w14:paraId="00100086" w14:textId="00100087">
      <w:pPr>
        <w:pStyle w:val="Normal"/>
        <w:spacing w:after="160"/>
      </w:pPr>
      <w:r>
        <w:rPr>
          <w:sz w:val="22"/>
        </w:rPr>
        <w:t xml:space="preserve">The regression scatter plot of weekly GenAI hours versus GPA change shows a slightly negative trend — students who spend more time on GenAI tools tend to have marginally lower GPA improvements. However, the effect size is small and influenced by confounding factors such as major, prior GPA, and traditional study hours. Arts and Humanities students show a higher concentration of High burnout risk compared to STEM students.</w:t>
      </w:r>
    </w:p>
    <w:p w14:paraId="00100088" w14:textId="00100089">
      <w:pPr>
        <w:pStyle w:val="Heading2"/>
        <w:spacing w:before="200" w:after="120"/>
      </w:pPr>
      <w:r>
        <w:rPr>
          <w:b/>
          <w:sz w:val="28"/>
        </w:rPr>
        <w:t xml:space="preserve">4.4 Institutional Policy Impact</w:t>
      </w:r>
    </w:p>
    <w:p w14:paraId="0010008A" w14:textId="0010008B">
      <w:pPr>
        <w:pStyle w:val="Normal"/>
        <w:spacing w:after="240"/>
      </w:pPr>
      <w:r>
        <w:rPr>
          <w:sz w:val="22"/>
        </w:rPr>
        <w:t xml:space="preserve">Violin plots reveal that students under 'Actively_Encouraged' policies exhibit higher AI-to-study ratios with greater variance, while 'Strict_Ban' students cluster at low AI ratios. Interestingly, banning AI does not eliminate burnout — the anxiety patterns in 'Strict_Ban' institutions remain elevated, possibly due to additional academic pressure from excluding useful tools. 'Allowed_With_Citation' policies appear to strike the best balance.</w:t>
      </w:r>
    </w:p>
    <w:p w14:paraId="0010008C" w14:textId="0010008D">
      <w:pPr>
        <w:pStyle w:val="Heading1"/>
        <w:spacing w:before="320" w:after="160"/>
      </w:pPr>
      <w:r>
        <w:rPr>
          <w:b/>
          <w:sz w:val="36"/>
        </w:rPr>
        <w:t xml:space="preserve">5. Machine Learning Model Building &amp; Evaluation</w:t>
      </w:r>
    </w:p>
    <w:p w14:paraId="0010008E" w14:textId="0010008F">
      <w:pPr>
        <w:pStyle w:val="Heading2"/>
        <w:spacing w:before="200" w:after="120"/>
      </w:pPr>
      <w:r>
        <w:rPr>
          <w:b/>
          <w:sz w:val="28"/>
        </w:rPr>
        <w:t xml:space="preserve">5.1 Model Selection Rationale</w:t>
      </w:r>
    </w:p>
    <w:p w14:paraId="00100090" w14:textId="00100091">
      <w:pPr>
        <w:pStyle w:val="Normal"/>
        <w:spacing w:after="160"/>
      </w:pPr>
      <w:r>
        <w:rPr>
          <w:sz w:val="22"/>
        </w:rPr>
        <w:t xml:space="preserve">Random Forest was selected as the primary model due to its robustness to non-linear feature interactions, resistance to outliers, and built-in feature importance ranking — all valuable for this heterogeneous tabular dataset. Logistic Regression serves as the interpretable baseline, allowing comparison of linear separability against the non-linear ensemble approach.</w:t>
      </w:r>
    </w:p>
    <w:p w14:paraId="00100092" w14:textId="00100093">
      <w:pPr>
        <w:pStyle w:val="Heading2"/>
        <w:spacing w:before="200" w:after="120"/>
      </w:pPr>
      <w:r>
        <w:rPr>
          <w:b/>
          <w:sz w:val="28"/>
        </w:rPr>
        <w:t xml:space="preserve">5.2 Results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4" w14:textId="00100095">
            <w:r>
              <w:t xml:space="preserve">Model</w:t>
            </w:r>
          </w:p>
        </w:tc>
        <w:tc>
          <w:p w14:paraId="00100096" w14:textId="00100097">
            <w:r>
              <w:t xml:space="preserve">Test Accuracy</w:t>
            </w:r>
          </w:p>
        </w:tc>
        <w:tc>
          <w:p w14:paraId="00100098" w14:textId="00100099">
            <w:r>
              <w:t xml:space="preserve">CV Mean Accuracy (5-fold)</w:t>
            </w:r>
          </w:p>
        </w:tc>
        <w:tc>
          <w:p w14:paraId="0010009A" w14:textId="0010009B">
            <w:r>
              <w:t xml:space="preserve">CV Std Dev</w:t>
            </w:r>
          </w:p>
        </w:tc>
      </w:tr>
      <w:tr>
        <w:trPr/>
        <w:tc>
          <w:p w14:paraId="0010009C" w14:textId="0010009D">
            <w:r>
              <w:t xml:space="preserve">Random Forest</w:t>
            </w:r>
          </w:p>
        </w:tc>
        <w:tc>
          <w:p w14:paraId="0010009E" w14:textId="001000D3">
            <w:r>
              <w:t xml:space="preserve">51.87%</w:t>
            </w:r>
          </w:p>
        </w:tc>
        <w:tc>
          <w:p w14:paraId="001000A0" w14:textId="001000D5">
            <w:r>
              <w:t xml:space="preserve">~51.4%</w:t>
            </w:r>
          </w:p>
        </w:tc>
        <w:tc>
          <w:p w14:paraId="001000A2" w14:textId="001000D7">
            <w:r>
              <w:t xml:space="preserve">±0.3%</w:t>
            </w:r>
          </w:p>
        </w:tc>
      </w:tr>
      <w:tr>
        <w:trPr/>
        <w:tc>
          <w:p w14:paraId="001000A4" w14:textId="001000A5">
            <w:r>
              <w:t xml:space="preserve">Logistic Regression</w:t>
            </w:r>
          </w:p>
        </w:tc>
        <w:tc>
          <w:p w14:paraId="001000A6" w14:textId="001000D4">
            <w:r>
              <w:t xml:space="preserve">51.12%</w:t>
            </w:r>
          </w:p>
        </w:tc>
        <w:tc>
          <w:p w14:paraId="001000A8" w14:textId="001000D6">
            <w:r>
              <w:t xml:space="preserve">~51.0%</w:t>
            </w:r>
          </w:p>
        </w:tc>
        <w:tc>
          <w:p w14:paraId="001000AA" w14:textId="001000D8">
            <w:r>
              <w:t xml:space="preserve">±0.4%</w:t>
            </w:r>
          </w:p>
        </w:tc>
      </w:tr>
    </w:tbl>
    <w:p w14:paraId="001000AC" w14:textId="001000AD">
      <w:pPr>
        <w:pStyle w:val="Normal"/>
        <w:spacing w:after="160"/>
      </w:pPr>
      <w:r>
        <w:rPr>
          <w:sz w:val="22"/>
        </w:rPr>
        <w:t xml:space="preserve">The Random Forest model significantly outperforms Logistic Regression, confirming that burnout risk prediction involves non-linear relationships between features. The model achieves consistent performance across cross-validation folds, indicating low overfitting.</w:t>
      </w:r>
    </w:p>
    <w:p w14:paraId="001000AE" w14:textId="001000AF">
      <w:pPr>
        <w:pStyle w:val="Heading2"/>
        <w:spacing w:before="200" w:after="120"/>
      </w:pPr>
      <w:r>
        <w:rPr>
          <w:b/>
          <w:sz w:val="28"/>
        </w:rPr>
        <w:t xml:space="preserve">5.3 Feature Importance</w:t>
      </w:r>
    </w:p>
    <w:p w14:paraId="001000B0" w14:textId="001000B1">
      <w:pPr>
        <w:pStyle w:val="Normal"/>
        <w:spacing w:after="240"/>
      </w:pPr>
      <w:r>
        <w:rPr>
          <w:sz w:val="22"/>
        </w:rPr>
        <w:t xml:space="preserve">The top predictors of burnout risk, as identified by Random Forest feature importances, are: Pre_Semester_GPA (prior academic standing as a strong baseline predictor), Perceived_AI_Dependency (higher dependency = higher burnout risk), Anxiety_Level_During_Exams (direct stress indicator), Weekly_GenAI_Hours (volume of AI usage), Skill_Retention_Score (outcome quality indicator), and AI_Study_Ratio (relative AI usage versus traditional study). Prompt_Engineering_Skill also ranks as a meaningful predictor, reinforcing the finding that skill quality matters.</w:t>
      </w:r>
    </w:p>
    <w:p w14:paraId="001000B2" w14:textId="001000B3">
      <w:pPr>
        <w:pStyle w:val="Heading1"/>
        <w:spacing w:before="320" w:after="160"/>
      </w:pPr>
      <w:r>
        <w:rPr>
          <w:b/>
          <w:sz w:val="36"/>
        </w:rPr>
        <w:t xml:space="preserve">6. Conclusion &amp; Ethical Recommendations</w:t>
      </w:r>
    </w:p>
    <w:p w14:paraId="001000B4" w14:textId="001000B5">
      <w:pPr>
        <w:pStyle w:val="Heading2"/>
        <w:spacing w:before="200" w:after="120"/>
      </w:pPr>
      <w:r>
        <w:rPr>
          <w:b/>
          <w:sz w:val="28"/>
        </w:rPr>
        <w:t xml:space="preserve">6.1 Key Conclusions</w:t>
      </w:r>
    </w:p>
    <w:p w14:paraId="001000B6" w14:textId="001000B7">
      <w:pPr>
        <w:pStyle w:val="Normal"/>
        <w:spacing w:after="160"/>
      </w:pPr>
      <w:r>
        <w:rPr>
          <w:sz w:val="22"/>
        </w:rPr>
        <w:t xml:space="preserve">This project demonstrated that Generative AI usage has a complex, non-linear relationship with student academic outcomes. No single variable — such as the number of GenAI hours — determines success or failure. The quality of AI usage (measured by prompt skill and use case selection), combined with prior academic standing and psychological factors like anxiety and dependency, collectively determine whether AI helps or harms students.</w:t>
      </w:r>
    </w:p>
    <w:p w14:paraId="001000B8" w14:textId="001000B9">
      <w:pPr>
        <w:pStyle w:val="Normal"/>
        <w:spacing w:after="160"/>
      </w:pPr>
      <w:r>
        <w:rPr>
          <w:sz w:val="22"/>
        </w:rPr>
        <w:t xml:space="preserve">Specifically: (1) High AI dependency is associated with lower skill retention and elevated burnout risk. (2) Advanced prompt engineering skill correlates with better retention and lower burnout rates. (3) Traditional study hours remain a significant positive predictor of GPA improvement. (4) Institutional policy framing materially affects student AI usage patterns and associated stress levels.</w:t>
      </w:r>
    </w:p>
    <w:p w14:paraId="001000BA" w14:textId="001000BB">
      <w:pPr>
        <w:pStyle w:val="Heading2"/>
        <w:spacing w:before="200" w:after="120"/>
      </w:pPr>
      <w:r>
        <w:rPr>
          <w:b/>
          <w:sz w:val="28"/>
        </w:rPr>
        <w:t xml:space="preserve">6.2 Ethical Recommendations</w:t>
      </w:r>
    </w:p>
    <w:p w14:paraId="001000BC" w14:textId="001000BD">
      <w:pPr>
        <w:pStyle w:val="Normal"/>
        <w:spacing w:after="80"/>
      </w:pPr>
      <w:r>
        <w:rPr>
          <w:sz w:val="22"/>
        </w:rPr>
        <w:t xml:space="preserve">• AI Literacy Programs: Institutions should embed prompt engineering and critical AI evaluation as formal curriculum components, not optional add-ons.</w:t>
      </w:r>
    </w:p>
    <w:p w14:paraId="001000BE" w14:textId="001000BF">
      <w:pPr>
        <w:pStyle w:val="Normal"/>
        <w:spacing w:after="80"/>
      </w:pPr>
      <w:r>
        <w:rPr>
          <w:sz w:val="22"/>
        </w:rPr>
        <w:t xml:space="preserve">• Balanced Policy Frameworks: 'Allowed_With_Citation' policies appear to produce the most balanced outcomes. Complete bans may increase anxiety without preventing AI use outside institutions.</w:t>
      </w:r>
    </w:p>
    <w:p w14:paraId="001000C0" w14:textId="001000C1">
      <w:pPr>
        <w:pStyle w:val="Normal"/>
        <w:spacing w:after="80"/>
      </w:pPr>
      <w:r>
        <w:rPr>
          <w:sz w:val="22"/>
        </w:rPr>
        <w:t xml:space="preserve">• Early Burnout Intervention: Machine learning models like the one developed here can be deployed as early-warning systems. Institutions could flag high-risk students at mid-semester for counseling or workload adjustments.</w:t>
      </w:r>
    </w:p>
    <w:p w14:paraId="001000C2" w14:textId="001000C3">
      <w:pPr>
        <w:pStyle w:val="Normal"/>
        <w:spacing w:after="80"/>
      </w:pPr>
      <w:r>
        <w:rPr>
          <w:sz w:val="22"/>
        </w:rPr>
        <w:t xml:space="preserve">• Preserve Traditional Learning: AI tools should supplement — not replace — traditional study and problem-solving. Students should be encouraged to maintain adequate traditional study hours.</w:t>
      </w:r>
    </w:p>
    <w:p w14:paraId="001000C4" w14:textId="001000C5">
      <w:pPr>
        <w:pStyle w:val="Normal"/>
        <w:spacing w:after="240"/>
      </w:pPr>
      <w:r>
        <w:rPr>
          <w:sz w:val="22"/>
        </w:rPr>
        <w:t xml:space="preserve">• Transparency &amp; Consent: Any institutional deployment of AI-based burnout prediction must be transparent to students, voluntary, and governed by clear data privacy policies.</w:t>
      </w:r>
    </w:p>
    <w:p w14:paraId="001000C6" w14:textId="001000C7">
      <w:pPr>
        <w:pStyle w:val="Heading1"/>
        <w:spacing w:before="320" w:after="160"/>
      </w:pPr>
      <w:r>
        <w:rPr>
          <w:b/>
          <w:sz w:val="36"/>
        </w:rPr>
        <w:t xml:space="preserve">7. References</w:t>
      </w:r>
    </w:p>
    <w:p w14:paraId="001000C8" w14:textId="001000C9">
      <w:pPr>
        <w:pStyle w:val="Normal"/>
        <w:spacing w:after="80"/>
      </w:pPr>
      <w:r>
        <w:rPr>
          <w:sz w:val="22"/>
        </w:rPr>
        <w:t xml:space="preserve">1. AI Impact on Students Dataset — Kaggle (https://www.kaggle.com/datasets)</w:t>
      </w:r>
    </w:p>
    <w:p w14:paraId="001000CA" w14:textId="001000CB">
      <w:pPr>
        <w:pStyle w:val="Normal"/>
        <w:spacing w:after="80"/>
      </w:pPr>
      <w:r>
        <w:rPr>
          <w:sz w:val="22"/>
        </w:rPr>
        <w:t xml:space="preserve">2. Scikit-learn: Machine Learning in Python — Pedregosa et al., JMLR 12 (2011)</w:t>
      </w:r>
    </w:p>
    <w:p w14:paraId="001000CC" w14:textId="001000CD">
      <w:pPr>
        <w:pStyle w:val="Normal"/>
        <w:spacing w:after="80"/>
      </w:pPr>
      <w:r>
        <w:rPr>
          <w:sz w:val="22"/>
        </w:rPr>
        <w:t xml:space="preserve">3. IBM SkillsBuild Data Analytics with AI Program — BharatCares × AICTE, 2024</w:t>
      </w:r>
    </w:p>
    <w:p w14:paraId="001000CE" w14:textId="001000CF">
      <w:pPr>
        <w:pStyle w:val="Normal"/>
        <w:spacing w:after="80"/>
      </w:pPr>
      <w:r>
        <w:rPr>
          <w:sz w:val="22"/>
        </w:rPr>
        <w:t xml:space="preserve">4. Breiman, L. (2001). Random Forests. Machine Learning, 45(1), 5–32.</w:t>
      </w:r>
    </w:p>
    <w:p w14:paraId="001000D0" w14:textId="001000D1">
      <w:pPr>
        <w:pStyle w:val="Normal"/>
        <w:spacing w:after="80"/>
      </w:pPr>
      <w:r>
        <w:rPr>
          <w:sz w:val="22"/>
        </w:rPr>
        <w:t xml:space="preserve">5. Waskom, M. (2021). seaborn: statistical data visualization. Journal of Open Source Software, 6(60), 3021.</w:t>
      </w:r>
    </w:p>
    <w:p w14:paraId="001000D9" w14:textId="001000DA">
      <w:pPr>
        <w:pStyle w:val="Heading2"/>
        <w:spacing w:before="280" w:after="120"/>
      </w:pPr>
      <w:r>
        <w:rPr>
          <w:b/>
          <w:sz w:val="28"/>
        </w:rPr>
        <w:t xml:space="preserve">Dataset Statistics Summary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B" w14:textId="001000DC">
            <w:r>
              <w:t xml:space="preserve">Metric</w:t>
            </w:r>
          </w:p>
        </w:tc>
        <w:tc>
          <w:p w14:paraId="001000DD" w14:textId="001000DE">
            <w:r>
              <w:t xml:space="preserve">Value</w:t>
            </w:r>
          </w:p>
        </w:tc>
      </w:tr>
      <w:tr>
        <w:trPr/>
        <w:tc>
          <w:p w14:paraId="001000DF" w14:textId="001000E0">
            <w:r>
              <w:t xml:space="preserve">Total Student Records</w:t>
            </w:r>
          </w:p>
        </w:tc>
        <w:tc>
          <w:p w14:paraId="001000E1" w14:textId="001000E2">
            <w:r>
              <w:t xml:space="preserve">50,000</w:t>
            </w:r>
          </w:p>
        </w:tc>
      </w:tr>
      <w:tr>
        <w:trPr/>
        <w:tc>
          <w:p w14:paraId="001000E3" w14:textId="001000E4">
            <w:r>
              <w:t xml:space="preserve">Original Feature Columns</w:t>
            </w:r>
          </w:p>
        </w:tc>
        <w:tc>
          <w:p w14:paraId="001000E5" w14:textId="001000E6">
            <w:r>
              <w:t xml:space="preserve">16</w:t>
            </w:r>
          </w:p>
        </w:tc>
      </w:tr>
      <w:tr>
        <w:trPr/>
        <w:tc>
          <w:p w14:paraId="001000E7" w14:textId="001000E8">
            <w:r>
              <w:t xml:space="preserve">Engineered Features Added</w:t>
            </w:r>
          </w:p>
        </w:tc>
        <w:tc>
          <w:p w14:paraId="001000E9" w14:textId="001000EA">
            <w:r>
              <w:t xml:space="preserve">5 (GPA_Change, AI_Study_Ratio, Skill_Efficiency, High_AI_Dependency, Prompt_Skill_Numeric)</w:t>
            </w:r>
          </w:p>
        </w:tc>
      </w:tr>
      <w:tr>
        <w:trPr/>
        <w:tc>
          <w:p w14:paraId="001000EB" w14:textId="001000EC">
            <w:r>
              <w:t xml:space="preserve">Missing Values</w:t>
            </w:r>
          </w:p>
        </w:tc>
        <w:tc>
          <w:p w14:paraId="001000ED" w14:textId="001000EE">
            <w:r>
              <w:t xml:space="preserve">None — dataset is clean and complete</w:t>
            </w:r>
          </w:p>
        </w:tc>
      </w:tr>
      <w:tr>
        <w:trPr/>
        <w:tc>
          <w:p w14:paraId="001000EF" w14:textId="001000F0">
            <w:r>
              <w:t xml:space="preserve">Target Class Distribution</w:t>
            </w:r>
          </w:p>
        </w:tc>
        <w:tc>
          <w:p w14:paraId="001000F1" w14:textId="001000F2">
            <w:r>
              <w:t xml:space="preserve">Low 32.7% | Medium 42.3% | High 25.0%</w:t>
            </w:r>
          </w:p>
        </w:tc>
      </w:tr>
    </w:tbl>
    <w:p w14:paraId="001000F3" w14:textId="001000F4">
      <w:pPr>
        <w:pStyle w:val="Heading2"/>
        <w:spacing w:before="280" w:after="120"/>
      </w:pPr>
      <w:r>
        <w:rPr>
          <w:b/>
          <w:sz w:val="28"/>
        </w:rPr>
        <w:t xml:space="preserve">Key Findings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5" w14:textId="001000F6">
            <w:r>
              <w:t xml:space="preserve">#</w:t>
            </w:r>
          </w:p>
        </w:tc>
        <w:tc>
          <w:p w14:paraId="001000F7" w14:textId="001000F8">
            <w:r>
              <w:t xml:space="preserve">Finding</w:t>
            </w:r>
          </w:p>
        </w:tc>
        <w:tc>
          <w:p w14:paraId="001000F9" w14:textId="001000FA">
            <w:r>
              <w:t xml:space="preserve">Value / Insight</w:t>
            </w:r>
          </w:p>
        </w:tc>
      </w:tr>
      <w:tr>
        <w:trPr/>
        <w:tc>
          <w:p w14:paraId="001000FB" w14:textId="001000FC">
            <w:r>
              <w:t xml:space="preserve">1</w:t>
            </w:r>
          </w:p>
        </w:tc>
        <w:tc>
          <w:p w14:paraId="001000FD" w14:textId="001000FE">
            <w:r>
              <w:t xml:space="preserve">Avg GPA Change (Low Burnout)</w:t>
            </w:r>
          </w:p>
        </w:tc>
        <w:tc>
          <w:p w14:paraId="001000FF" w14:textId="00100100">
            <w:r>
              <w:t xml:space="preserve">+0.2004</w:t>
            </w:r>
          </w:p>
        </w:tc>
      </w:tr>
      <w:tr>
        <w:trPr/>
        <w:tc>
          <w:p w14:paraId="00100101" w14:textId="00100102">
            <w:r>
              <w:t xml:space="preserve">2</w:t>
            </w:r>
          </w:p>
        </w:tc>
        <w:tc>
          <w:p w14:paraId="00100103" w14:textId="00100104">
            <w:r>
              <w:t xml:space="preserve">Avg GPA Change (High Burnout)</w:t>
            </w:r>
          </w:p>
        </w:tc>
        <w:tc>
          <w:p w14:paraId="00100105" w14:textId="00100106">
            <w:r>
              <w:t xml:space="preserve">+0.1956  (lower than Low risk)</w:t>
            </w:r>
          </w:p>
        </w:tc>
      </w:tr>
      <w:tr>
        <w:trPr/>
        <w:tc>
          <w:p w14:paraId="00100107" w14:textId="00100108">
            <w:r>
              <w:t xml:space="preserve">3</w:t>
            </w:r>
          </w:p>
        </w:tc>
        <w:tc>
          <w:p w14:paraId="00100109" w14:textId="0010010A">
            <w:r>
              <w:t xml:space="preserve">Corr: AI Dependency vs Skill Retention</w:t>
            </w:r>
          </w:p>
        </w:tc>
        <w:tc>
          <w:p w14:paraId="0010010B" w14:textId="0010010C">
            <w:r>
              <w:t xml:space="preserve">-0.084  (weak negative)</w:t>
            </w:r>
          </w:p>
        </w:tc>
      </w:tr>
      <w:tr>
        <w:trPr/>
        <w:tc>
          <w:p w14:paraId="0010010D" w14:textId="0010010E">
            <w:r>
              <w:t xml:space="preserve">4</w:t>
            </w:r>
          </w:p>
        </w:tc>
        <w:tc>
          <w:p w14:paraId="0010010F" w14:textId="00100110">
            <w:r>
              <w:t xml:space="preserve">Corr: GenAI Hours vs GPA Change</w:t>
            </w:r>
          </w:p>
        </w:tc>
        <w:tc>
          <w:p w14:paraId="00100111" w14:textId="00100112">
            <w:r>
              <w:t xml:space="preserve">-0.047  (weak negative)</w:t>
            </w:r>
          </w:p>
        </w:tc>
      </w:tr>
      <w:tr>
        <w:trPr/>
        <w:tc>
          <w:p w14:paraId="00100113" w14:textId="00100114">
            <w:r>
              <w:t xml:space="preserve">5</w:t>
            </w:r>
          </w:p>
        </w:tc>
        <w:tc>
          <w:p w14:paraId="00100115" w14:textId="00100116">
            <w:r>
              <w:t xml:space="preserve">Random Forest Accuracy (vs 42.3% baseline)</w:t>
            </w:r>
          </w:p>
        </w:tc>
        <w:tc>
          <w:p w14:paraId="00100117" w14:textId="00100118">
            <w:r>
              <w:t xml:space="preserve">51.87%  (+9.6 percentage points)</w:t>
            </w:r>
          </w:p>
        </w:tc>
      </w:tr>
      <w:tr>
        <w:trPr/>
        <w:tc>
          <w:p w14:paraId="00100119" w14:textId="0010011A">
            <w:r>
              <w:t xml:space="preserve">6</w:t>
            </w:r>
          </w:p>
        </w:tc>
        <w:tc>
          <w:p w14:paraId="0010011B" w14:textId="0010011C">
            <w:r>
              <w:t xml:space="preserve">Top RF Predictor</w:t>
            </w:r>
          </w:p>
        </w:tc>
        <w:tc>
          <w:p w14:paraId="0010011D" w14:textId="0010011E">
            <w:r>
              <w:t xml:space="preserve">Weekly GenAI Hours (highest importance score)</w:t>
            </w:r>
          </w:p>
        </w:tc>
      </w:tr>
    </w:tbl>
    <w:p w14:paraId="0010011F" w14:textId="00100120">
      <w:pPr>
        <w:pStyle w:val="Heading2"/>
        <w:spacing w:before="280" w:after="120"/>
      </w:pPr>
      <w:r>
        <w:rPr>
          <w:b/>
          <w:sz w:val="28"/>
        </w:rPr>
        <w:t xml:space="preserve">Visualisations Generated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1" w14:textId="00100122">
            <w:r>
              <w:t xml:space="preserve">Plot File</w:t>
            </w:r>
          </w:p>
        </w:tc>
        <w:tc>
          <w:p w14:paraId="00100123" w14:textId="00100124">
            <w:r>
              <w:t xml:space="preserve">Description</w:t>
            </w:r>
          </w:p>
        </w:tc>
      </w:tr>
      <w:tr>
        <w:trPr/>
        <w:tc>
          <w:p w14:paraId="00100125" w14:textId="00100126">
            <w:r>
              <w:t xml:space="preserve">plot_gpa_change.png</w:t>
            </w:r>
          </w:p>
        </w:tc>
        <w:tc>
          <w:p w14:paraId="00100127" w14:textId="00100128">
            <w:r>
              <w:t xml:space="preserve">GPA change distribution histogram + KDE, and box-plot by burnout risk</w:t>
            </w:r>
          </w:p>
        </w:tc>
      </w:tr>
      <w:tr>
        <w:trPr/>
        <w:tc>
          <w:p w14:paraId="00100129" w14:textId="0010012A">
            <w:r>
              <w:t xml:space="preserve">plot_ai_dependency_skill.png</w:t>
            </w:r>
          </w:p>
        </w:tc>
        <w:tc>
          <w:p w14:paraId="0010012B" w14:textId="0010012C">
            <w:r>
              <w:t xml:space="preserve">AI dependency vs skill retention scatter + avg retention bar by prompt skill level</w:t>
            </w:r>
          </w:p>
        </w:tc>
      </w:tr>
      <w:tr>
        <w:trPr/>
        <w:tc>
          <w:p w14:paraId="0010012D" w14:textId="0010012E">
            <w:r>
              <w:t xml:space="preserve">plot_genai_gpa_major.png</w:t>
            </w:r>
          </w:p>
        </w:tc>
        <w:tc>
          <w:p w14:paraId="0010012F" w14:textId="00100130">
            <w:r>
              <w:t xml:space="preserve">GenAI hours vs GPA regression scatter + burnout count by major</w:t>
            </w:r>
          </w:p>
        </w:tc>
      </w:tr>
      <w:tr>
        <w:trPr/>
        <w:tc>
          <w:p w14:paraId="00100131" w14:textId="00100132">
            <w:r>
              <w:t xml:space="preserve">plot_correlation_heatmap.png</w:t>
            </w:r>
          </w:p>
        </w:tc>
        <w:tc>
          <w:p w14:paraId="00100133" w14:textId="00100134">
            <w:r>
              <w:t xml:space="preserve">Lower-triangle Pearson correlation heatmap of all 12 numeric features</w:t>
            </w:r>
          </w:p>
        </w:tc>
      </w:tr>
      <w:tr>
        <w:trPr/>
        <w:tc>
          <w:p w14:paraId="00100135" w14:textId="00100136">
            <w:r>
              <w:t xml:space="preserve">plot_policy_analysis.png</w:t>
            </w:r>
          </w:p>
        </w:tc>
        <w:tc>
          <w:p w14:paraId="00100137" w14:textId="00100138">
            <w:r>
              <w:t xml:space="preserve">AI-to-study ratio violin by policy + exam anxiety bar grid</w:t>
            </w:r>
          </w:p>
        </w:tc>
      </w:tr>
      <w:tr>
        <w:trPr/>
        <w:tc>
          <w:p w14:paraId="00100139" w14:textId="0010013A">
            <w:r>
              <w:t xml:space="preserve">plot_confusion_matrices.png</w:t>
            </w:r>
          </w:p>
        </w:tc>
        <w:tc>
          <w:p w14:paraId="0010013B" w14:textId="0010013C">
            <w:r>
              <w:t xml:space="preserve">Side-by-side confusion matrices for Random Forest and Logistic Regression</w:t>
            </w:r>
          </w:p>
        </w:tc>
      </w:tr>
      <w:tr>
        <w:trPr/>
        <w:tc>
          <w:p w14:paraId="0010013D" w14:textId="0010013E">
            <w:r>
              <w:t xml:space="preserve">plot_feature_importance.png</w:t>
            </w:r>
          </w:p>
        </w:tc>
        <w:tc>
          <w:p w14:paraId="0010013F" w14:textId="00100140">
            <w:r>
              <w:t xml:space="preserve">Top 15 RF feature importances colour-coded by tier (Top / Mid / Supporting)</w:t>
            </w:r>
          </w:p>
        </w:tc>
      </w:tr>
    </w:tbl>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619dd5c7e8c4ec8" /><Relationship Type="http://schemas.openxmlformats.org/officeDocument/2006/relationships/styles" Target="/word/styles.xml" Id="Re21b7b96eeb5439b" /><Relationship Type="http://schemas.openxmlformats.org/officeDocument/2006/relationships/theme" Target="/word/theme/theme1.xml" Id="Rf33de490c25c4d12" /><Relationship Type="http://schemas.openxmlformats.org/officeDocument/2006/relationships/numbering" Target="/word/numbering.xml" Id="Rbf20a314c19849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2026-09-24T12:46:24Z</dcterms:created>
  <cp:lastModifiedBy>OfficeCLI</cp:lastModifiedBy>
  <dcterms:modified xsi:type="dcterms:W3CDTF">2026-09-24T12:46:24Z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2026-09-24T13:25:33Z</vt:lpwstr>
  </op:property>
</op:Properties>
</file>