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Cloud-Native Framework for Integrating and Analyzing Heterogeneous Data Using Azure Databricks and Synapse Analytics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Name(s) 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Affiliation(s), e.g., Dept. of Computer Science, University Name, City, Country]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Email(s)]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today's data-driven landscape, organizations face a significant and persistent challenge in integrating and analyzing data from disparate and heterogeneous sources. Traditional data warehousing solutions are often rigid, costly, and ill-equipped to handle the modern data "variety" challenge, where data is siloed in structured (SQL), semi-structured (CSV, JSON), and NoSQL (MongoDB) formats. This paper presents the design and implementation of a scalable, end-to-end data engineering pipeline built entirely on the Microsoft Azure cloud. Our framework is designed as a case study to process a complex, real-world e-commerce dataset, demonstrating a solution to these integration challenges. We leverage a suite of powerful, serverless, and managed cloud services, including </w:t>
      </w:r>
      <w:r w:rsidDel="00000000" w:rsidR="00000000" w:rsidRPr="00000000">
        <w:rPr>
          <w:rFonts w:ascii="Google Sans Text" w:cs="Google Sans Text" w:eastAsia="Google Sans Text" w:hAnsi="Google Sans Text"/>
          <w:b w:val="1"/>
          <w:bCs w:val="1"/>
          <w:rtl w:val="0"/>
        </w:rPr>
        <w:t xml:space="preserve">Azure Data Factory (ADF)</w:t>
      </w:r>
      <w:r w:rsidDel="00000000" w:rsidR="00000000" w:rsidRPr="00000000">
        <w:rPr>
          <w:rFonts w:ascii="Google Sans Text" w:cs="Google Sans Text" w:eastAsia="Google Sans Text" w:hAnsi="Google Sans Text"/>
          <w:rtl w:val="0"/>
        </w:rPr>
        <w:t xml:space="preserve"> for robust and automated orchestration [2, 9], </w:t>
      </w:r>
      <w:r w:rsidDel="00000000" w:rsidR="00000000" w:rsidRPr="00000000">
        <w:rPr>
          <w:rFonts w:ascii="Google Sans Text" w:cs="Google Sans Text" w:eastAsia="Google Sans Text" w:hAnsi="Google Sans Text"/>
          <w:b w:val="1"/>
          <w:bCs w:val="1"/>
          <w:rtl w:val="0"/>
        </w:rPr>
        <w:t xml:space="preserve">Azure Data Lake Storage (ADLS) Gen2</w:t>
      </w:r>
      <w:r w:rsidDel="00000000" w:rsidR="00000000" w:rsidRPr="00000000">
        <w:rPr>
          <w:rFonts w:ascii="Google Sans Text" w:cs="Google Sans Text" w:eastAsia="Google Sans Text" w:hAnsi="Google Sans Text"/>
          <w:rtl w:val="0"/>
        </w:rPr>
        <w:t xml:space="preserve"> as the central, scalable data lake, </w:t>
      </w:r>
      <w:r w:rsidDel="00000000" w:rsidR="00000000" w:rsidRPr="00000000">
        <w:rPr>
          <w:rFonts w:ascii="Google Sans Text" w:cs="Google Sans Text" w:eastAsia="Google Sans Text" w:hAnsi="Google Sans Text"/>
          <w:b w:val="1"/>
          <w:bCs w:val="1"/>
          <w:rtl w:val="0"/>
        </w:rPr>
        <w:t xml:space="preserve">Azure Databricks</w:t>
      </w:r>
      <w:r w:rsidDel="00000000" w:rsidR="00000000" w:rsidRPr="00000000">
        <w:rPr>
          <w:rFonts w:ascii="Google Sans Text" w:cs="Google Sans Text" w:eastAsia="Google Sans Text" w:hAnsi="Google Sans Text"/>
          <w:rtl w:val="0"/>
        </w:rPr>
        <w:t xml:space="preserve"> for high-performance, Spark-based transformation [1, 5], and </w:t>
      </w:r>
      <w:r w:rsidDel="00000000" w:rsidR="00000000" w:rsidRPr="00000000">
        <w:rPr>
          <w:rFonts w:ascii="Google Sans Text" w:cs="Google Sans Text" w:eastAsia="Google Sans Text" w:hAnsi="Google Sans Text"/>
          <w:b w:val="1"/>
          <w:bCs w:val="1"/>
          <w:rtl w:val="0"/>
        </w:rPr>
        <w:t xml:space="preserve">Azure Synapse Analytics</w:t>
      </w:r>
      <w:r w:rsidDel="00000000" w:rsidR="00000000" w:rsidRPr="00000000">
        <w:rPr>
          <w:rFonts w:ascii="Google Sans Text" w:cs="Google Sans Text" w:eastAsia="Google Sans Text" w:hAnsi="Google Sans Text"/>
          <w:rtl w:val="0"/>
        </w:rPr>
        <w:t xml:space="preserve"> for the final, query-optimized analytics serving layer. This architecture implements the modern </w:t>
      </w:r>
      <w:r w:rsidDel="00000000" w:rsidR="00000000" w:rsidRPr="00000000">
        <w:rPr>
          <w:rFonts w:ascii="Google Sans Text" w:cs="Google Sans Text" w:eastAsia="Google Sans Text" w:hAnsi="Google Sans Text"/>
          <w:b w:val="1"/>
          <w:bCs w:val="1"/>
          <w:rtl w:val="0"/>
        </w:rPr>
        <w:t xml:space="preserve">"Lakehouse"</w:t>
      </w:r>
      <w:r w:rsidDel="00000000" w:rsidR="00000000" w:rsidRPr="00000000">
        <w:rPr>
          <w:rFonts w:ascii="Google Sans Text" w:cs="Google Sans Text" w:eastAsia="Google Sans Text" w:hAnsi="Google Sans Text"/>
          <w:rtl w:val="0"/>
        </w:rPr>
        <w:t xml:space="preserve"> paradigm [7], which merges the flexibility of data lakes with the performance of data warehouses. We logically organize this Lakehouse using the </w:t>
      </w:r>
      <w:r w:rsidDel="00000000" w:rsidR="00000000" w:rsidRPr="00000000">
        <w:rPr>
          <w:rFonts w:ascii="Google Sans Text" w:cs="Google Sans Text" w:eastAsia="Google Sans Text" w:hAnsi="Google Sans Text"/>
          <w:b w:val="1"/>
          <w:bCs w:val="1"/>
          <w:rtl w:val="0"/>
        </w:rPr>
        <w:t xml:space="preserve">Medallion (Bronze-Silver-Gold) architecture</w:t>
      </w:r>
      <w:r w:rsidDel="00000000" w:rsidR="00000000" w:rsidRPr="00000000">
        <w:rPr>
          <w:rFonts w:ascii="Google Sans Text" w:cs="Google Sans Text" w:eastAsia="Google Sans Text" w:hAnsi="Google Sans Text"/>
          <w:rtl w:val="0"/>
        </w:rPr>
        <w:t xml:space="preserve"> [6] to progressively refine data from its raw, untouched state to an enriched, business-ready format. This paper details the complete methodology, from designing fault-tolerant data ingestion patterns [4] and automating them with ADF [3], to the core transformation process in Databricks. This stage involves the complex join of over ten disparate tables and, critically, demonstrates the integration of NoSQL data (from MongoDB) with the primary relational data. Furthermore, we detail the creation of 17 new engineered features to add analytical value. The pipeline culminates in a unified, high-performance 'gold' table, which serves as a secure [8] single source of truth for advanced analytics and visualization in Power BI. This architecture provides a robust, scalable, and cost-effective blueprint for modern cloud data warehousing.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b w:val="1"/>
          <w:bCs w:val="1"/>
          <w:rtl w:val="0"/>
        </w:rPr>
        <w:t xml:space="preserve">Keywords: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Cloud Computing, Data Engineering, Azure, Databricks, Synapse Analytics, Data Pipeline [1], Lakehouse [6], Heterogeneous Data Integration, Apache Spark, Azure Data Factory [2], Medallion Architecture, ELT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exponential growth of data, originating from diverse sources such as transactional systems, web applications, social media, and IoT devices, has become a defining characteristic of the modern digital era. The volume, velocity, and, most critically, the </w:t>
      </w:r>
      <w:r w:rsidDel="00000000" w:rsidR="00000000" w:rsidRPr="00000000">
        <w:rPr>
          <w:rFonts w:ascii="Google Sans Text" w:cs="Google Sans Text" w:eastAsia="Google Sans Text" w:hAnsi="Google Sans Text"/>
          <w:i w:val="1"/>
          <w:iCs w:val="1"/>
          <w:rtl w:val="0"/>
        </w:rPr>
        <w:t xml:space="preserve">variety</w:t>
      </w:r>
      <w:r w:rsidDel="00000000" w:rsidR="00000000" w:rsidRPr="00000000">
        <w:rPr>
          <w:rFonts w:ascii="Google Sans Text" w:cs="Google Sans Text" w:eastAsia="Google Sans Text" w:hAnsi="Google Sans Text"/>
          <w:rtl w:val="0"/>
        </w:rPr>
        <w:t xml:space="preserve"> of this data present immense challenges for organizations seeking to derive actionable insights. The challenge is no longer just storing this data, but efficiently processing and analyzing it. Data is often trapped in functional silos: structured data in relational SQL databases, semi-structured data in files like CSVs or JSON, and flexible, schema-on-read data in NoSQL databases like MongoDB. Traditional on-premise data warehousing solutions, with their rigid schemas, monolithic architecture, and high capital expenditure, are fundamentally unsuited for this new landscape. They lack the scalability, flexibility, and cost-efficiency required to handle this "big data"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Cloud computing platforms have emerged as the definitive solution, with Microsoft Azure providing a comprehensive and integrated ecosystem for modern data engineering. Azure offers superior efficiency, global scalability, and a pay-as-you-go model that allows organizations to build data platforms that are both powerful and cost-effective [10]. The core architectural advantage of the cloud is the separation of storage and compute. This paradigm shift allows for the selection of specialized, best-in-class tools for each stage of the data lifecycle: ingestion, storage, transformation, and serving [1, 3]. Our project leverages this principle to build a "Modern Data Platform" that is greater than the sum of its parts, where each component is optimized for its specific task.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paper focuses on the design and implementation of such a platform, using a specific and powerful combination of Azure services. We detail the role of each component in our architecture. To address the ingestion and orchestration challenge, our architecture leverages </w:t>
      </w:r>
      <w:r w:rsidDel="00000000" w:rsidR="00000000" w:rsidRPr="00000000">
        <w:rPr>
          <w:rFonts w:ascii="Google Sans Text" w:cs="Google Sans Text" w:eastAsia="Google Sans Text" w:hAnsi="Google Sans Text"/>
          <w:b w:val="1"/>
          <w:bCs w:val="1"/>
          <w:rtl w:val="0"/>
        </w:rPr>
        <w:t xml:space="preserve">Azure Data Factory (ADF)</w:t>
      </w:r>
      <w:r w:rsidDel="00000000" w:rsidR="00000000" w:rsidRPr="00000000">
        <w:rPr>
          <w:rFonts w:ascii="Google Sans Text" w:cs="Google Sans Text" w:eastAsia="Google Sans Text" w:hAnsi="Google Sans Text"/>
          <w:rtl w:val="0"/>
        </w:rPr>
        <w:t xml:space="preserve">. This is our cloud-native, serverless data integration and orchestration service. Instead of writing custom, brittle scripts for scheduling and data movement, we use ADF's graphical interface and 90+ built-in connectors to create automated, resilient, and observable pipelines [2, 9]. It acts as the "conductor" of our entire workflow, managing the flow of data from source to lake.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foundation of our platform is </w:t>
      </w:r>
      <w:r w:rsidDel="00000000" w:rsidR="00000000" w:rsidRPr="00000000">
        <w:rPr>
          <w:rFonts w:ascii="Google Sans Text" w:cs="Google Sans Text" w:eastAsia="Google Sans Text" w:hAnsi="Google Sans Text"/>
          <w:b w:val="1"/>
          <w:bCs w:val="1"/>
          <w:rtl w:val="0"/>
        </w:rPr>
        <w:t xml:space="preserve">Azure Data Lake Storage (ADLS) Gen2</w:t>
      </w:r>
      <w:r w:rsidDel="00000000" w:rsidR="00000000" w:rsidRPr="00000000">
        <w:rPr>
          <w:rFonts w:ascii="Google Sans Text" w:cs="Google Sans Text" w:eastAsia="Google Sans Text" w:hAnsi="Google Sans Text"/>
          <w:rtl w:val="0"/>
        </w:rPr>
        <w:t xml:space="preserve">. It is not merely a file system; it is a hyperscale repository built on Azure Blob Storage but optimized for big data analytics. It provides a hierarchical namespace, low-cost storage, and fine-grained security, making it the ideal storage for a modern data lake [1]. This is where all data, raw and transformed, is physically stored. The "workhorse" of our pipeline is </w:t>
      </w:r>
      <w:r w:rsidDel="00000000" w:rsidR="00000000" w:rsidRPr="00000000">
        <w:rPr>
          <w:rFonts w:ascii="Google Sans Text" w:cs="Google Sans Text" w:eastAsia="Google Sans Text" w:hAnsi="Google Sans Text"/>
          <w:b w:val="1"/>
          <w:bCs w:val="1"/>
          <w:rtl w:val="0"/>
        </w:rPr>
        <w:t xml:space="preserve">Azure Databricks</w:t>
      </w:r>
      <w:r w:rsidDel="00000000" w:rsidR="00000000" w:rsidRPr="00000000">
        <w:rPr>
          <w:rFonts w:ascii="Google Sans Text" w:cs="Google Sans Text" w:eastAsia="Google Sans Text" w:hAnsi="Google Sans Text"/>
          <w:rtl w:val="0"/>
        </w:rPr>
        <w:t xml:space="preserve">. As a managed and optimized Apache Spark platform, it provides a powerful, in-memory, distributed processing engine. We use it for all complex data cleaning, joining, and transformation [5]. Its ability to run PySpark notebooks makes it the perfect tool for data engineers and data scientists to collaborate and apply complex logic that is not possible in traditional SQL-based tools.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Finally, our analytics "serving" layer is </w:t>
      </w:r>
      <w:r w:rsidDel="00000000" w:rsidR="00000000" w:rsidRPr="00000000">
        <w:rPr>
          <w:rFonts w:ascii="Google Sans Text" w:cs="Google Sans Text" w:eastAsia="Google Sans Text" w:hAnsi="Google Sans Text"/>
          <w:b w:val="1"/>
          <w:bCs w:val="1"/>
          <w:rtl w:val="0"/>
        </w:rPr>
        <w:t xml:space="preserve">Azure Synapse Analytics</w:t>
      </w:r>
      <w:r w:rsidDel="00000000" w:rsidR="00000000" w:rsidRPr="00000000">
        <w:rPr>
          <w:rFonts w:ascii="Google Sans Text" w:cs="Google Sans Text" w:eastAsia="Google Sans Text" w:hAnsi="Google Sans Text"/>
          <w:rtl w:val="0"/>
        </w:rPr>
        <w:t xml:space="preserve">. It is a limitless analytics service that unifies data warehousing and big data analytics. We specifically use its serverless SQL pool, which allows us to query data </w:t>
      </w:r>
      <w:r w:rsidDel="00000000" w:rsidR="00000000" w:rsidRPr="00000000">
        <w:rPr>
          <w:rFonts w:ascii="Google Sans Text" w:cs="Google Sans Text" w:eastAsia="Google Sans Text" w:hAnsi="Google Sans Text"/>
          <w:i w:val="1"/>
          <w:iCs w:val="1"/>
          <w:rtl w:val="0"/>
        </w:rPr>
        <w:t xml:space="preserve">directly</w:t>
      </w:r>
      <w:r w:rsidDel="00000000" w:rsidR="00000000" w:rsidRPr="00000000">
        <w:rPr>
          <w:rFonts w:ascii="Google Sans Text" w:cs="Google Sans Text" w:eastAsia="Google Sans Text" w:hAnsi="Google Sans Text"/>
          <w:rtl w:val="0"/>
        </w:rPr>
        <w:t xml:space="preserve"> from our data lake using familiar T-SQL syntax and to materialize our final, optimized tables for high-performance reporting [1].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tools are not just used in isolation; they are integrated to form a cohesive </w:t>
      </w:r>
      <w:r w:rsidDel="00000000" w:rsidR="00000000" w:rsidRPr="00000000">
        <w:rPr>
          <w:rFonts w:ascii="Google Sans Text" w:cs="Google Sans Text" w:eastAsia="Google Sans Text" w:hAnsi="Google Sans Text"/>
          <w:b w:val="1"/>
          <w:bCs w:val="1"/>
          <w:rtl w:val="0"/>
        </w:rPr>
        <w:t xml:space="preserve">"Lakehouse"</w:t>
      </w:r>
      <w:r w:rsidDel="00000000" w:rsidR="00000000" w:rsidRPr="00000000">
        <w:rPr>
          <w:rFonts w:ascii="Google Sans Text" w:cs="Google Sans Text" w:eastAsia="Google Sans Text" w:hAnsi="Google Sans Text"/>
          <w:rtl w:val="0"/>
        </w:rPr>
        <w:t xml:space="preserve"> architecture [7]. The Lakehouse paradigm is a modern data management architecture that combines the low-cost, flexible storage of a data lake with the performance, reliability, and ACID transactional capabilities of a data warehouse. To logically organize our Lakehouse, we implement the </w:t>
      </w:r>
      <w:r w:rsidDel="00000000" w:rsidR="00000000" w:rsidRPr="00000000">
        <w:rPr>
          <w:rFonts w:ascii="Google Sans Text" w:cs="Google Sans Text" w:eastAsia="Google Sans Text" w:hAnsi="Google Sans Text"/>
          <w:b w:val="1"/>
          <w:bCs w:val="1"/>
          <w:rtl w:val="0"/>
        </w:rPr>
        <w:t xml:space="preserve">Medallion Architecture</w:t>
      </w:r>
      <w:r w:rsidDel="00000000" w:rsidR="00000000" w:rsidRPr="00000000">
        <w:rPr>
          <w:rFonts w:ascii="Google Sans Text" w:cs="Google Sans Text" w:eastAsia="Google Sans Text" w:hAnsi="Google Sans Text"/>
          <w:rtl w:val="0"/>
        </w:rPr>
        <w:t xml:space="preserve"> [6]. This data design pattern progressively refines data across three layers: </w:t>
      </w:r>
      <w:r w:rsidDel="00000000" w:rsidR="00000000" w:rsidRPr="00000000">
        <w:rPr>
          <w:rFonts w:ascii="Google Sans Text" w:cs="Google Sans Text" w:eastAsia="Google Sans Text" w:hAnsi="Google Sans Text"/>
          <w:b w:val="1"/>
          <w:bCs w:val="1"/>
          <w:rtl w:val="0"/>
        </w:rPr>
        <w:t xml:space="preserve">Bronze</w:t>
      </w:r>
      <w:r w:rsidDel="00000000" w:rsidR="00000000" w:rsidRPr="00000000">
        <w:rPr>
          <w:rFonts w:ascii="Google Sans Text" w:cs="Google Sans Text" w:eastAsia="Google Sans Text" w:hAnsi="Google Sans Text"/>
          <w:rtl w:val="0"/>
        </w:rPr>
        <w:t xml:space="preserve"> (raw, untouched data), </w:t>
      </w:r>
      <w:r w:rsidDel="00000000" w:rsidR="00000000" w:rsidRPr="00000000">
        <w:rPr>
          <w:rFonts w:ascii="Google Sans Text" w:cs="Google Sans Text" w:eastAsia="Google Sans Text" w:hAnsi="Google Sans Text"/>
          <w:b w:val="1"/>
          <w:bCs w:val="1"/>
          <w:rtl w:val="0"/>
        </w:rPr>
        <w:t xml:space="preserve">Silver</w:t>
      </w:r>
      <w:r w:rsidDel="00000000" w:rsidR="00000000" w:rsidRPr="00000000">
        <w:rPr>
          <w:rFonts w:ascii="Google Sans Text" w:cs="Google Sans Text" w:eastAsia="Google Sans Text" w:hAnsi="Google Sans Text"/>
          <w:rtl w:val="0"/>
        </w:rPr>
        <w:t xml:space="preserve"> (validated, conformed, and joined data), and </w:t>
      </w:r>
      <w:r w:rsidDel="00000000" w:rsidR="00000000" w:rsidRPr="00000000">
        <w:rPr>
          <w:rFonts w:ascii="Google Sans Text" w:cs="Google Sans Text" w:eastAsia="Google Sans Text" w:hAnsi="Google Sans Text"/>
          <w:b w:val="1"/>
          <w:bCs w:val="1"/>
          <w:rtl w:val="0"/>
        </w:rPr>
        <w:t xml:space="preserve">Gold</w:t>
      </w:r>
      <w:r w:rsidDel="00000000" w:rsidR="00000000" w:rsidRPr="00000000">
        <w:rPr>
          <w:rFonts w:ascii="Google Sans Text" w:cs="Google Sans Text" w:eastAsia="Google Sans Text" w:hAnsi="Google Sans Text"/>
          <w:rtl w:val="0"/>
        </w:rPr>
        <w:t xml:space="preserve"> (enriched, business-ready data optimized for analytics). This layered approach ensures data quality, traceability, and reusability.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paper presents a case study in building this exact platform to analyze the Olist e-commerce dataset. Our specific contribution is a detailed, practical blueprint for solving a common and complex challenge: the integration of heterogeneous data. We demonstrate how to ingest CSV files from a file repository and data from a SQL database, and then enrich this data by joining it with reference data from an external NoSQL (MongoDB) database. This process, culminating in a single gold table in Synapse, provides a secure [8] "single source of truth" that empowers end-users in Power BI to perform complex analysis without ever needing to understand the immense processing complexity of the underlying pipeline.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paper is structured as follows: Section II reviews related works in cloud data pipelines and architectures. Section III provides a detailed description of the heterogeneous Olist dataset. Section IV presents our proposed system methodology, detailing each stage of the pipeline and the Azure components used. Section V discusses the results and analytical capabilities unlocked by our platform. Section VI provides a conclusion, and Section VII discusses potential future work.</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RELATED 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research is grounded in a survey of modern data engineering practices, focusing on cloud-based architectures, orchestration, and the Lakehouse paradigm. The foundational design of our project is informed by the work of Singu [1], which outlines a scalable data engineering pipeline using the exact stack of Azure Data Lake, Data Factory, Synapse, and Databricks. This provides a comprehensive blueprint for integrating these services. Our paper builds on this by providing a specific case study with a complex, heterogeneous dataset, moving from a general design to a practical implementation. The overall architecture is situated within the "Lakehouse" paradigm, which is explored as a theoretical concept in the survey by [7]. We implement the practical, enterprise-wide Lakehouse pattern described by [6], which uses Azure Databricks and Delta Lake (the technology underlying our Parquet-based layers) to logically organize data into the Bronze, Silver, and Gold layers.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ingestion and orchestration phase, our work is informed by modern trends in ETL automation [9]. We selected Azure Data Factory (ADF) as our orchestrator, a choice supported by its position as a high-performance tool for enterprise ingestion [2] and its favorable comparison to other pipeline architectures [3]. The specific patterns for landing raw data into the cloud are based on the efficient ingestion designs proposed by [4], ensuring our "Bronze" layer is both scalable and fault-tolerant.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transformation phase, our use of Azure Databricks as the primary compute engine is validated by real-world, high-throughput pipelines, such as the one described by [5] for processing big data. Our methodology not only uses Databricks for transformation but also as a secure integration tool, aligning with the principles for AI-driven secure cloud pipelines discussed by [8], to solve the complex problem of unifying SQL and NoSQL data.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Finally, the entire architecture is positioned within the broader context of cloud data platforms. The work by [10] provides a comparative analysis of AWS and Microsoft Azure, highlighting the efficiency and capabilities of the Azure ecosystem. Our project serves as a concrete example of these efficiencies, validating Azure as a robust and cost-effective choice for modern data engineering.</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DATASET DESCRIPTION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dataset used for this project is the </w:t>
      </w:r>
      <w:r w:rsidDel="00000000" w:rsidR="00000000" w:rsidRPr="00000000">
        <w:rPr>
          <w:rFonts w:ascii="Google Sans Text" w:cs="Google Sans Text" w:eastAsia="Google Sans Text" w:hAnsi="Google Sans Text"/>
          <w:b w:val="1"/>
          <w:bCs w:val="1"/>
          <w:rtl w:val="0"/>
        </w:rPr>
        <w:t xml:space="preserve">Olist E-Commerce Dataset</w:t>
      </w:r>
      <w:r w:rsidDel="00000000" w:rsidR="00000000" w:rsidRPr="00000000">
        <w:rPr>
          <w:rFonts w:ascii="Google Sans Text" w:cs="Google Sans Text" w:eastAsia="Google Sans Text" w:hAnsi="Google Sans Text"/>
          <w:rtl w:val="0"/>
        </w:rPr>
        <w:t xml:space="preserve">, a large, real-world collection of anonymized e-commerce data. It contains information on approximately 100,000 orders placed on the Olist marketplace in Brazil from 2016 to 2018. This dataset is ideal for our project as it is not a single flat file, but is highly normalized and delivered in a heterogeneous format that mimics a real-world enterprise environment.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data is distributed across nine CSV files, representing different business entities. The olist_customers_dataset.csv contains customer data, including a customer_id, a customer_unique_id (for tracking repeat customers), and a customer_zip_code_prefix (key for geolocation). The olist_orders_dataset.csv is the main transaction file, linking a customer_id to an order_id and providing critical order status information (e.g., 'delivered') and a series of timestamps (order_purchase_timestamp, order_delivered_customer_date, order_estimated_delivery_date, etc.) that are essential for our logistical feature engineering.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olist_order_items_dataset.csv is the central junction table of the entire schema. It links an order_id to the product_id and the seller_id, effectively connecting the customer's order to the product they bought and the seller who sold it. This table also contains the core financial data: price and freight_value. To understand the payments, the olist_order_payments_dataset.csv links to the order_id and details the payment_type (e.g., 'credit_card') and the payment_installments, which are key features for analyzing customer behavior.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the supply side, the olist_products_dataset.csv contains product information, including the product_id, the product_category_name (in Portuguese), and crucial physical attributes (product_weight_g, product_length_cm, product_height_cm, product_width_cm) that are vital for our logistical analysis. The olist_sellers_dataset.csv contains seller information, including a unique seller_id and their seller_zip_code_prefix, allowing for analysis of seller location. Finally, olist_order_reviews_dataset.csv and olist_geolocation_dataset.csv provide supplemental data on customer feedback and zip code locations.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data structure presents a significant data engineering challenge. To perform any meaningful analysis, such as calculating profit per product or tracking seller delivery performance, these 8-10 tables must be correctly joined.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simulate a truly heterogeneous environment, we architected two additional data sources. First, we treat the olist_sellers_dataset.csv as if it resides in a separate, transactional </w:t>
      </w:r>
      <w:r w:rsidDel="00000000" w:rsidR="00000000" w:rsidRPr="00000000">
        <w:rPr>
          <w:rFonts w:ascii="Google Sans Text" w:cs="Google Sans Text" w:eastAsia="Google Sans Text" w:hAnsi="Google Sans Text"/>
          <w:b w:val="1"/>
          <w:bCs w:val="1"/>
          <w:rtl w:val="0"/>
        </w:rPr>
        <w:t xml:space="preserve">SQL Database</w:t>
      </w:r>
      <w:r w:rsidDel="00000000" w:rsidR="00000000" w:rsidRPr="00000000">
        <w:rPr>
          <w:rFonts w:ascii="Google Sans Text" w:cs="Google Sans Text" w:eastAsia="Google Sans Text" w:hAnsi="Google Sans Text"/>
          <w:rtl w:val="0"/>
        </w:rPr>
        <w:t xml:space="preserve">. This represents a common enterprise scenario where critical master data (like sellers or users) is managed in a high-availability relational database, separate from the event-based order files. Second, the product_category_name_translation.csv file, which maps the Portuguese product categories to English, is hosted in an external </w:t>
      </w:r>
      <w:r w:rsidDel="00000000" w:rsidR="00000000" w:rsidRPr="00000000">
        <w:rPr>
          <w:rFonts w:ascii="Google Sans Text" w:cs="Google Sans Text" w:eastAsia="Google Sans Text" w:hAnsi="Google Sans Text"/>
          <w:b w:val="1"/>
          <w:bCs w:val="1"/>
          <w:rtl w:val="0"/>
        </w:rPr>
        <w:t xml:space="preserve">MongoDB</w:t>
      </w:r>
      <w:r w:rsidDel="00000000" w:rsidR="00000000" w:rsidRPr="00000000">
        <w:rPr>
          <w:rFonts w:ascii="Google Sans Text" w:cs="Google Sans Text" w:eastAsia="Google Sans Text" w:hAnsi="Google Sans Text"/>
          <w:rtl w:val="0"/>
        </w:rPr>
        <w:t xml:space="preserve"> collection. This simulates another common pattern where reference data or metadata is stored in a flexible, document-based NoSQL database for easy updates and flexible schema.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dataset, therefore, consists of flat-file CSVs (from GitHub), a transactional SQL table, and a NoSQL (MongoDB) collection. The primary goal of our pipeline is to ingest all these disparate sources, de-normalize and join them, and enrich them with new features to create a single, unified gold table for analysis. This process transforms a complex, 10-table, multi-format dataset into one queryable "single source of truth."</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PROPOSED SYSTEM METHODOLOGY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methodology is a practical, end-to-end implementation of the Medallion Lakehouse Architecture [6, 7], leveraging a suite of Azure services to create a robust and automated data pipeline [1]. The architecture, as shown in Fig. 1, is broken into four distinct stages, each handled by a specialized cloud component.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 1. The proposed system architecture, showing the flow from Data Sources (GitHub, SQL, MongoDB) through ADF, ADLS, Databricks, Synapse, and finally to Visualization.]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methodology begins with </w:t>
      </w:r>
      <w:r w:rsidDel="00000000" w:rsidR="00000000" w:rsidRPr="00000000">
        <w:rPr>
          <w:rFonts w:ascii="Google Sans Text" w:cs="Google Sans Text" w:eastAsia="Google Sans Text" w:hAnsi="Google Sans Text"/>
          <w:b w:val="1"/>
          <w:bCs w:val="1"/>
          <w:rtl w:val="0"/>
        </w:rPr>
        <w:t xml:space="preserve">Azure Data Factory (ADF)</w:t>
      </w:r>
      <w:r w:rsidDel="00000000" w:rsidR="00000000" w:rsidRPr="00000000">
        <w:rPr>
          <w:rFonts w:ascii="Google Sans Text" w:cs="Google Sans Text" w:eastAsia="Google Sans Text" w:hAnsi="Google Sans Text"/>
          <w:rtl w:val="0"/>
        </w:rPr>
        <w:t xml:space="preserve">, which serves as the "control plane" or orchestrator for our entire data pipeline. ADF is a cloud-native, serverless data integration service that excels at automating data workflows [9]. We designed a master pipeline in ADF that contains Copy Data activities to perform the initial ingestion. This pipeline uses Linked Services to securely store connection credentials for our sources (an HTTP connector for the GitHub CSVs and a SQL Server connector for our transactional database). The Copy Data activities extract data from these sources and, following a robust ingestion pattern [4], load it directly into our data lake, with ADF's monitoring interface providing a complete audit trail for each run. This automated, resilient ingestion process is a significant improvement over traditional, custom-coded scripts [2, 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storage foundation for our entire pipeline is </w:t>
      </w:r>
      <w:r w:rsidDel="00000000" w:rsidR="00000000" w:rsidRPr="00000000">
        <w:rPr>
          <w:rFonts w:ascii="Google Sans Text" w:cs="Google Sans Text" w:eastAsia="Google Sans Text" w:hAnsi="Google Sans Text"/>
          <w:b w:val="1"/>
          <w:bCs w:val="1"/>
          <w:rtl w:val="0"/>
        </w:rPr>
        <w:t xml:space="preserve">Azure Data Lake Storage (ADLS) Gen2</w:t>
      </w:r>
      <w:r w:rsidDel="00000000" w:rsidR="00000000" w:rsidRPr="00000000">
        <w:rPr>
          <w:rFonts w:ascii="Google Sans Text" w:cs="Google Sans Text" w:eastAsia="Google Sans Text" w:hAnsi="Google Sans Text"/>
          <w:rtl w:val="0"/>
        </w:rPr>
        <w:t xml:space="preserve">. This is not a traditional file system but a hyperscale repository built on Azure Blob Storage, specifically optimized for big data analytics. Its most important feature is the </w:t>
      </w:r>
      <w:r w:rsidDel="00000000" w:rsidR="00000000" w:rsidRPr="00000000">
        <w:rPr>
          <w:rFonts w:ascii="Google Sans Text" w:cs="Google Sans Text" w:eastAsia="Google Sans Text" w:hAnsi="Google Sans Text"/>
          <w:i w:val="1"/>
          <w:iCs w:val="1"/>
          <w:rtl w:val="0"/>
        </w:rPr>
        <w:t xml:space="preserve">hierarchical namespace</w:t>
      </w:r>
      <w:r w:rsidDel="00000000" w:rsidR="00000000" w:rsidRPr="00000000">
        <w:rPr>
          <w:rFonts w:ascii="Google Sans Text" w:cs="Google Sans Text" w:eastAsia="Google Sans Text" w:hAnsi="Google Sans Text"/>
          <w:rtl w:val="0"/>
        </w:rPr>
        <w:t xml:space="preserve">, which allows us to organize files and folders in a way that is highly performant for analytical engines like Apache Spark [1]. We leverage this to physically implement the Medallion Architecture, creating separate top-level folders for /bronze/, /silver/, and /gold/. The /bronze/ container is the target for our ADF ingestion, storing raw, immutable, and auditable data in its native format. The low-cost, scalable nature of ADLS Gen2 makes it the ideal single storage layer for all three stages of our data.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data is in the Bronze layer, ADF triggers the "workhorse" of our pipeline: </w:t>
      </w:r>
      <w:r w:rsidDel="00000000" w:rsidR="00000000" w:rsidRPr="00000000">
        <w:rPr>
          <w:rFonts w:ascii="Google Sans Text" w:cs="Google Sans Text" w:eastAsia="Google Sans Text" w:hAnsi="Google Sans Text"/>
          <w:b w:val="1"/>
          <w:bCs w:val="1"/>
          <w:rtl w:val="0"/>
        </w:rPr>
        <w:t xml:space="preserve">Azure Databricks</w:t>
      </w:r>
      <w:r w:rsidDel="00000000" w:rsidR="00000000" w:rsidRPr="00000000">
        <w:rPr>
          <w:rFonts w:ascii="Google Sans Text" w:cs="Google Sans Text" w:eastAsia="Google Sans Text" w:hAnsi="Google Sans Text"/>
          <w:rtl w:val="0"/>
        </w:rPr>
        <w:t xml:space="preserve">. As a managed platform for Apache Spark, Databricks provides the distributed compute engine necessary for our complex transformation logic [1, 5]. Our entire transformation process is encapsulated in a single PySpark notebook. This notebook first reads the raw data from the /bronze/ container. It then executes the most critical step of our architecture: heterogeneous data integration. Using the MongoDB Spark Connector, it connects to our external NoSQL database and reads the product category translations into a Spark DataFrame. This DataFrame is then joined with the main dataset, unifying our CSV, SQL, and NoSQL data in memory. Following this integration, the notebook performs extensive data cleaning (handling nulls, casting data types from string to numeric and timestamp) and then executes the feature engineering. This is the most valuable part of the transformation, where we create 17 new analytical columns. These include logistical features like Delay Time (calculating the difference between delivered and estimated dates), time_to_ship_days (from approval to carrier), and time_in_transit_days; physical features like product_volume_cm3 and product_density; and behavioral features like purchase_hour and is_interstate_sale. The final, enriched DataFrame is then written in the compressed, columnar Parquet format to the /silver/ container in ADLS, completing the Silver layer of our Lakehouse [6].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stage of our data pipeline uses </w:t>
      </w:r>
      <w:r w:rsidDel="00000000" w:rsidR="00000000" w:rsidRPr="00000000">
        <w:rPr>
          <w:rFonts w:ascii="Google Sans Text" w:cs="Google Sans Text" w:eastAsia="Google Sans Text" w:hAnsi="Google Sans Text"/>
          <w:b w:val="1"/>
          <w:bCs w:val="1"/>
          <w:rtl w:val="0"/>
        </w:rPr>
        <w:t xml:space="preserve">Azure Synapse Analytics</w:t>
      </w:r>
      <w:r w:rsidDel="00000000" w:rsidR="00000000" w:rsidRPr="00000000">
        <w:rPr>
          <w:rFonts w:ascii="Google Sans Text" w:cs="Google Sans Text" w:eastAsia="Google Sans Text" w:hAnsi="Google Sans Text"/>
          <w:rtl w:val="0"/>
        </w:rPr>
        <w:t xml:space="preserve"> as the high-performance serving layer. We use Synapse's </w:t>
      </w:r>
      <w:r w:rsidDel="00000000" w:rsidR="00000000" w:rsidRPr="00000000">
        <w:rPr>
          <w:rFonts w:ascii="Google Sans Text" w:cs="Google Sans Text" w:eastAsia="Google Sans Text" w:hAnsi="Google Sans Text"/>
          <w:b w:val="1"/>
          <w:bCs w:val="1"/>
          <w:rtl w:val="0"/>
        </w:rPr>
        <w:t xml:space="preserve">Serverless SQL Pool</w:t>
      </w:r>
      <w:r w:rsidDel="00000000" w:rsidR="00000000" w:rsidRPr="00000000">
        <w:rPr>
          <w:rFonts w:ascii="Google Sans Text" w:cs="Google Sans Text" w:eastAsia="Google Sans Text" w:hAnsi="Google Sans Text"/>
          <w:rtl w:val="0"/>
        </w:rPr>
        <w:t xml:space="preserve">, a powerful "query-as-a-service" engine that runs T-SQL queries directly on our ADLS data files without requiring a dedicated, provisioned data warehouse. Our Synapse T-SQL script performs a two-step process to create the Gold layer. First, we create a view (gold.final2) using the OPENROWSET command to read the /silver/ Parquet files </w:t>
      </w:r>
      <w:r w:rsidDel="00000000" w:rsidR="00000000" w:rsidRPr="00000000">
        <w:rPr>
          <w:rFonts w:ascii="Google Sans Text" w:cs="Google Sans Text" w:eastAsia="Google Sans Text" w:hAnsi="Google Sans Text"/>
          <w:i w:val="1"/>
          <w:iCs w:val="1"/>
          <w:rtl w:val="0"/>
        </w:rPr>
        <w:t xml:space="preserve">virtually</w:t>
      </w:r>
      <w:r w:rsidDel="00000000" w:rsidR="00000000" w:rsidRPr="00000000">
        <w:rPr>
          <w:rFonts w:ascii="Google Sans Text" w:cs="Google Sans Text" w:eastAsia="Google Sans Text" w:hAnsi="Google Sans Text"/>
          <w:rtl w:val="0"/>
        </w:rPr>
        <w:t xml:space="preserve">. This view applies the final business filter, selecting only orders WHERE order_status = 'delivered'. Second, we execute a CREATE EXTERNAL TABLE AS SELECT (CETAS) command (gold.finaltable). This command runs the query from the view, takes the filtered, business-ready results, and physically materializes them as new, optimized Parquet files in the /gold/finalServing/ directory. This gold.finaltable becomes our permanent, highly-performant "single source of truth," secured with its own credentials [8] and ready for consumption.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consumption layer is </w:t>
      </w:r>
      <w:r w:rsidDel="00000000" w:rsidR="00000000" w:rsidRPr="00000000">
        <w:rPr>
          <w:rFonts w:ascii="Google Sans Text" w:cs="Google Sans Text" w:eastAsia="Google Sans Text" w:hAnsi="Google Sans Text"/>
          <w:b w:val="1"/>
          <w:bCs w:val="1"/>
          <w:rtl w:val="0"/>
        </w:rPr>
        <w:t xml:space="preserve">Power BI</w:t>
      </w:r>
      <w:r w:rsidDel="00000000" w:rsidR="00000000" w:rsidRPr="00000000">
        <w:rPr>
          <w:rFonts w:ascii="Google Sans Text" w:cs="Google Sans Text" w:eastAsia="Google Sans Text" w:hAnsi="Google Sans Text"/>
          <w:rtl w:val="0"/>
        </w:rPr>
        <w:t xml:space="preserve">, which is connected directly to the gold.finaltable in Azure Synapse Analytics. Because all complex joins, filtering, and feature engineering are already completed, the Power BI reports are extremely fast and responsive. This abstracts the underlying complexity of the pipeline from the end-users, who can build complex dashboards simply by dragging and dropping the pre-built columns.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RESULTS AND DISCUSSION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successful implementation of this architecture yielded several key results, transforming a collection of complex, raw data files into a high-value analytical asset. The results can be measured functionally, performantly, and analytically.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First, a key functional result is the creation of a unified schema. The initial 10+ tables with disparate schemas and heterogeneous formats were successfully de-normalized, cleaned, and integrated into a single, wide table, gold.finaltable, containing 51 columns (34 original/joined columns and 17 new engineered features) and over 100,000 rows. This unified schema serves as the definitive "single source of truth," eliminating the data silos that existed in the raw source data and making company-wide analysis possible.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Second, the pipeline successfully validated our core hypothesis regarding heterogeneous data integration. The gold.finaltable contains data seamlessly joined from flat-file CSVs (e.g., orders), a simulated SQL database (e.g., sellers), and a NoSQL MongoDB database (product translations). The use of Azure Databricks as an integration engine proved to be a powerful and flexible solution to this common enterprise challenge, demonstrating a practical method for creating a unified view from polyglot persistence systems.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Third, a significant performance result was observed in query acceleration for the end-user. In the raw data state, any analytical query would require Power BI to import and join 10+ tables, a process that is slow, memory-intensive, and often not feasible. Our architecture shifts this compute-heavy work from the "read-time" visualization tool to the "write-time" data pipeline, where Databricks and Synapse are designed to handle it efficiently. By connecting Power BI to the pre-joined, filtered, and optimized gold.finaltable, complex dashboards and reports load in seconds, not minutes.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Finally, the most important outcome is the new analytical capability enabled by the pipeline. The 17 engineered features directly enable insights that were impossible to gain from the raw data. Our final Power BI dashboard was built with four pages, directly corresponding to these new features. The "Sales Overview" page provides standard KPIs like Total Revenue, Average Order Value (AOV), and a map of Sales by Customer State. The "Logistics &amp; Operations" page heavily uses our new features to visualize Average Delivery Delay (from the Delay Time feature) and a "Fulfillment Funnel" that breaks down the average time_to_ship_days and time_in_transit_days, immediately identifying if sellers or carriers are the bottleneck. The "Customer Behavior" page visualizes purchase_hour and purchase_day_of_week in a heatmap to find peak shopping times. The "Product &amp; Seller Performance" page uses product_volume_cm3 and product_density in scatter plots to analyze if heavy, bulky items face more shipping delays and uses is_interstate_sale to analyze the primary logistics corridors.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paper has presented the design, implementation, and results of a modern, scalable data platform on the Microsoft Azure cloud. We have demonstrated a complete, end-to-end solution for a common and complex data engineering problem: the integration and analysis of heterogeneous data from structured (SQL), semi-structured (CSV), and NoSQL (MongoDB) sources.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architecture, which combines the strengths of Azure Data Factory for orchestration [2], Azure Data Lake Storage for scalable storage, Azure Databricks for complex transformation [1], and Azure Synapse Analytics for high-performance serving, proves to be a robust and flexible implementation of the Lakehouse paradigm [7]. By following the Medallion Architecture [6], we successfully transformed raw, siloed data into a single, enriched gold table, enabling powerful business intelligence and unlocking insights that were previously inaccessible. This project serves as a practical blueprint for organizations looking to modernize their data infrastructure and build a "single source of truth" for their analytical needs.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FUTURE WORK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this project successfully implements a batch-processing pipeline, several avenues exist for future enhancement. First, the architecture could be evolved to handle real-time data by replacing ADF's batch ingestion with Azure Event Hubs. This would allow the pipeline to ingest and process orders in real-time, using Spark Structured Streaming in Databricks to populate the dashboards with live data, moving from a batch to a Kappa or Lambda architecture [5]. Second, the gold.finaltable is perfectly structured for machine learning. Future work would involve using Databricks ML to train a regression model to </w:t>
      </w:r>
      <w:r w:rsidDel="00000000" w:rsidR="00000000" w:rsidRPr="00000000">
        <w:rPr>
          <w:rFonts w:ascii="Google Sans Text" w:cs="Google Sans Text" w:eastAsia="Google Sans Text" w:hAnsi="Google Sans Text"/>
          <w:i w:val="1"/>
          <w:iCs w:val="1"/>
          <w:rtl w:val="0"/>
        </w:rPr>
        <w:t xml:space="preserve">predict</w:t>
      </w:r>
      <w:r w:rsidDel="00000000" w:rsidR="00000000" w:rsidRPr="00000000">
        <w:rPr>
          <w:rFonts w:ascii="Google Sans Text" w:cs="Google Sans Text" w:eastAsia="Google Sans Text" w:hAnsi="Google Sans Text"/>
          <w:rtl w:val="0"/>
        </w:rPr>
        <w:t xml:space="preserve"> the Delay Time for a new order </w:t>
      </w:r>
      <w:r w:rsidDel="00000000" w:rsidR="00000000" w:rsidRPr="00000000">
        <w:rPr>
          <w:rFonts w:ascii="Google Sans Text" w:cs="Google Sans Text" w:eastAsia="Google Sans Text" w:hAnsi="Google Sans Text"/>
          <w:i w:val="1"/>
          <w:iCs w:val="1"/>
          <w:rtl w:val="0"/>
        </w:rPr>
        <w:t xml:space="preserve">before</w:t>
      </w:r>
      <w:r w:rsidDel="00000000" w:rsidR="00000000" w:rsidRPr="00000000">
        <w:rPr>
          <w:rFonts w:ascii="Google Sans Text" w:cs="Google Sans Text" w:eastAsia="Google Sans Text" w:hAnsi="Google Sans Text"/>
          <w:rtl w:val="0"/>
        </w:rPr>
        <w:t xml:space="preserve"> it ships, allowing the business to proactively manage customer expectations. Finally, security could be enhanced by implementing a more granular security model [8]. This would include storing all secrets (like API keys and database passwords) in Azure Key Vault, using Managed Identities for all service-to-service communication, and applying fine-grained Role-Based Access Control (RBAC) and data masking in Synapse to ensure analysts only see the data they are authorized to.</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VIII. ACKNOWLEDGEMENT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is typically used to thank funding agencies, colleagues for their feedback, or organizations that provided data. You can add a note thanking your department, mentors, or any collaborators who supported this work.)</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IX. REFERENCES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S. K. Singu, "Designing Scalable Data Engineering Pipelines Using Azure and Databricks," ESP Journal of Engineering &amp; Technology Advancements, vol. 1, no. 2, pp. 176-187, Dec. 2021.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A. Author, "Automating Data Pipelines in Azure Data Factory to...," International Journal for Multidisciplinary Research (IJFMR).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B. Author, "A Comparative Analysis of Innovative Cloud Data Pipeline Architectures: Snowflake vs. Azure Data Factory," International Journal of Creative Research Thoughts (IJCRT).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C. Author, "Efficient Data Ingestion in Cloud-based architecture: a Data Engineering Design Pattern Proposal," arXiv.</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D. Author, "High-throughput Cotton Phenotyping Big Data Pipeline: Lambda Architecture ... Azure resources," arXiv.</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E. Author, "Implementing Enterprise-Wide Lakehouse using Microsoft Azure Databricks and Delta Lake," Seventh Sense Research Group®.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F. Author, "Data Lakehouse: A survey and experimental study," ScienceDirect.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G. Author, "Implementing AI-Driven Secure Cloud Data Pipelines in ... Azure/Databricks," Nano NTP.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H. Author, "Modern Trends in Automating ETL Pipelines in Azure," ASR Jets Journal.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I. Author, "Enhancing Data Pipeline Efficiency Using Cloud-Based Big Data Technologies: A Comparative Analysis of AWS and Microsoft Azure," ResearchGate.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